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b12"/>
    <w:p w14:paraId="64A1BE26" w14:textId="7B25EDFB" w:rsidR="00B67358" w:rsidRDefault="009629A8" w:rsidP="00FF7167">
      <w:r>
        <w:fldChar w:fldCharType="begin"/>
      </w:r>
      <w:r>
        <w:instrText xml:space="preserve"> HYPERLINK  \l "b12" </w:instrText>
      </w:r>
      <w:r>
        <w:fldChar w:fldCharType="separate"/>
      </w:r>
      <w:r w:rsidR="00B67358" w:rsidRPr="009629A8">
        <w:rPr>
          <w:rStyle w:val="Hyperlink"/>
        </w:rPr>
        <w:t>B12</w:t>
      </w:r>
      <w:r>
        <w:fldChar w:fldCharType="end"/>
      </w:r>
      <w:r w:rsidR="00532E78">
        <w:t xml:space="preserve"> </w:t>
      </w:r>
    </w:p>
    <w:bookmarkEnd w:id="0"/>
    <w:p w14:paraId="043EFD31" w14:textId="1DB20F79" w:rsidR="00FF7167" w:rsidRDefault="00281265" w:rsidP="00FF7167">
      <w:pPr>
        <w:rPr>
          <w:rStyle w:val="Hyperlink"/>
        </w:rPr>
      </w:pPr>
      <w:r>
        <w:fldChar w:fldCharType="begin"/>
      </w:r>
      <w:r>
        <w:instrText xml:space="preserve"> HYPERLINK \l "Raisedvitb12" </w:instrText>
      </w:r>
      <w:r>
        <w:fldChar w:fldCharType="separate"/>
      </w:r>
      <w:r w:rsidR="00FF7167" w:rsidRPr="00D11CD0">
        <w:rPr>
          <w:rStyle w:val="Hyperlink"/>
        </w:rPr>
        <w:t>B12-raised</w:t>
      </w:r>
      <w:r>
        <w:rPr>
          <w:rStyle w:val="Hyperlink"/>
        </w:rPr>
        <w:fldChar w:fldCharType="end"/>
      </w:r>
    </w:p>
    <w:p w14:paraId="53085E9C" w14:textId="23333FE9" w:rsidR="00270EE8" w:rsidRDefault="00A1539F" w:rsidP="00FF7167">
      <w:hyperlink w:anchor="CLL" w:history="1">
        <w:r w:rsidR="00270EE8" w:rsidRPr="00270EE8">
          <w:rPr>
            <w:rStyle w:val="Hyperlink"/>
          </w:rPr>
          <w:t>CLL -primary care advice on discharge</w:t>
        </w:r>
      </w:hyperlink>
    </w:p>
    <w:p w14:paraId="22062823" w14:textId="00864E3E" w:rsidR="00FF7167" w:rsidRDefault="00A1539F" w:rsidP="00FF7167">
      <w:hyperlink w:anchor="Ferritinraised" w:history="1">
        <w:r w:rsidR="00FF7167" w:rsidRPr="00A529D6">
          <w:rPr>
            <w:rStyle w:val="Hyperlink"/>
          </w:rPr>
          <w:t>Ferritin-raised</w:t>
        </w:r>
      </w:hyperlink>
    </w:p>
    <w:p w14:paraId="2F2CE276" w14:textId="04F442C2" w:rsidR="00FF7167" w:rsidRDefault="00A1539F" w:rsidP="00FF7167">
      <w:hyperlink w:anchor="Immunoglobulinsproteinelectrophoresis" w:history="1">
        <w:r w:rsidR="00FF7167" w:rsidRPr="00A529D6">
          <w:rPr>
            <w:rStyle w:val="Hyperlink"/>
          </w:rPr>
          <w:t>Immunoglobulins and protein electrophoresis</w:t>
        </w:r>
      </w:hyperlink>
    </w:p>
    <w:p w14:paraId="029C7A0A" w14:textId="264AA8A4" w:rsidR="008E05D1" w:rsidRDefault="00A1539F">
      <w:hyperlink w:anchor="Lymphocytosis" w:history="1">
        <w:r w:rsidR="009F39AD" w:rsidRPr="00A529D6">
          <w:rPr>
            <w:rStyle w:val="Hyperlink"/>
          </w:rPr>
          <w:t>Lymphocytosis</w:t>
        </w:r>
      </w:hyperlink>
    </w:p>
    <w:p w14:paraId="24858F9E" w14:textId="39278124" w:rsidR="009F39AD" w:rsidRDefault="00A1539F">
      <w:hyperlink w:anchor="Lymphopenia" w:history="1">
        <w:r w:rsidR="009F39AD" w:rsidRPr="00A529D6">
          <w:rPr>
            <w:rStyle w:val="Hyperlink"/>
          </w:rPr>
          <w:t>Lymphopenia</w:t>
        </w:r>
      </w:hyperlink>
    </w:p>
    <w:p w14:paraId="21028E20" w14:textId="3EEE8588" w:rsidR="00FF7167" w:rsidRDefault="00A1539F" w:rsidP="00FF7167">
      <w:hyperlink w:anchor="Macrocytosis" w:history="1">
        <w:r w:rsidR="00FF7167" w:rsidRPr="00A529D6">
          <w:rPr>
            <w:rStyle w:val="Hyperlink"/>
          </w:rPr>
          <w:t>Macrocytosis</w:t>
        </w:r>
      </w:hyperlink>
    </w:p>
    <w:p w14:paraId="3003D904" w14:textId="2FFDD435" w:rsidR="00FF7167" w:rsidRDefault="00A1539F" w:rsidP="00FF7167">
      <w:hyperlink w:anchor="Neutrophilia" w:history="1">
        <w:r w:rsidR="00FF7167" w:rsidRPr="00A529D6">
          <w:rPr>
            <w:rStyle w:val="Hyperlink"/>
          </w:rPr>
          <w:t>Neutrophilia</w:t>
        </w:r>
      </w:hyperlink>
    </w:p>
    <w:p w14:paraId="1EA9356A" w14:textId="1EC92BAD" w:rsidR="00FF7167" w:rsidRDefault="00A1539F" w:rsidP="00FF7167">
      <w:hyperlink w:anchor="Neutropenia" w:history="1">
        <w:r w:rsidR="00FF7167" w:rsidRPr="00A529D6">
          <w:rPr>
            <w:rStyle w:val="Hyperlink"/>
          </w:rPr>
          <w:t>Neutropenia</w:t>
        </w:r>
      </w:hyperlink>
    </w:p>
    <w:p w14:paraId="269D4BB0" w14:textId="05C9A23D" w:rsidR="00A529D6" w:rsidRDefault="00A1539F" w:rsidP="00FF7167">
      <w:hyperlink r:id="rId7" w:history="1">
        <w:r w:rsidR="00A529D6" w:rsidRPr="001675A3">
          <w:rPr>
            <w:rStyle w:val="Hyperlink"/>
          </w:rPr>
          <w:t>Night Sweats</w:t>
        </w:r>
      </w:hyperlink>
      <w:r w:rsidR="00E0542E">
        <w:t xml:space="preserve">  </w:t>
      </w:r>
    </w:p>
    <w:p w14:paraId="33E25A54" w14:textId="16CBB673" w:rsidR="00FF7167" w:rsidRDefault="00A1539F" w:rsidP="00FF7167">
      <w:hyperlink w:anchor="Polycythaemia" w:history="1">
        <w:r w:rsidR="00FF7167" w:rsidRPr="00A529D6">
          <w:rPr>
            <w:rStyle w:val="Hyperlink"/>
          </w:rPr>
          <w:t>Polycythaemia</w:t>
        </w:r>
      </w:hyperlink>
    </w:p>
    <w:p w14:paraId="37E8CA5B" w14:textId="0470E9BF" w:rsidR="009F39AD" w:rsidRDefault="00A1539F">
      <w:hyperlink w:anchor="Thrombocytosis" w:history="1">
        <w:r w:rsidR="009F39AD" w:rsidRPr="00A529D6">
          <w:rPr>
            <w:rStyle w:val="Hyperlink"/>
          </w:rPr>
          <w:t>Thrombocytosis</w:t>
        </w:r>
      </w:hyperlink>
    </w:p>
    <w:p w14:paraId="0FB43553" w14:textId="43F811A1" w:rsidR="009F39AD" w:rsidRDefault="00A1539F">
      <w:hyperlink w:anchor="Thrombocytopenia" w:history="1">
        <w:r w:rsidR="009F39AD" w:rsidRPr="00A529D6">
          <w:rPr>
            <w:rStyle w:val="Hyperlink"/>
          </w:rPr>
          <w:t>Thrombocytopenia</w:t>
        </w:r>
      </w:hyperlink>
    </w:p>
    <w:p w14:paraId="3BF1B972" w14:textId="43642993" w:rsidR="009F39AD" w:rsidRDefault="009F39AD"/>
    <w:bookmarkStart w:id="1" w:name="Raisedvitb12"/>
    <w:p w14:paraId="2B8D5046" w14:textId="47CD42BF" w:rsidR="00FF7167" w:rsidRDefault="0080042D" w:rsidP="00FF71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 \l "b12"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="00FF7167" w:rsidRPr="0080042D">
        <w:rPr>
          <w:rStyle w:val="Hyperlink"/>
          <w:b/>
          <w:bCs/>
          <w:sz w:val="24"/>
          <w:szCs w:val="24"/>
        </w:rPr>
        <w:t>B12</w:t>
      </w:r>
      <w:r>
        <w:rPr>
          <w:b/>
          <w:bCs/>
          <w:sz w:val="24"/>
          <w:szCs w:val="24"/>
        </w:rPr>
        <w:fldChar w:fldCharType="end"/>
      </w:r>
      <w:r w:rsidR="00FF7167" w:rsidRPr="00FF7167">
        <w:rPr>
          <w:b/>
          <w:bCs/>
          <w:sz w:val="24"/>
          <w:szCs w:val="24"/>
        </w:rPr>
        <w:t xml:space="preserve"> </w:t>
      </w:r>
    </w:p>
    <w:p w14:paraId="16DEFB8F" w14:textId="74A78329" w:rsidR="00B67358" w:rsidRDefault="001703EE" w:rsidP="002C13F2">
      <w:pPr>
        <w:pStyle w:val="NoSpacing"/>
        <w:rPr>
          <w:b/>
          <w:bCs/>
          <w:i/>
          <w:iCs/>
        </w:rPr>
      </w:pPr>
      <w:r>
        <w:t>O</w:t>
      </w:r>
      <w:r w:rsidR="00B67358">
        <w:t>nly chec</w:t>
      </w:r>
      <w:r>
        <w:t>k</w:t>
      </w:r>
      <w:r w:rsidR="00B67358">
        <w:t xml:space="preserve"> if there is a clinical or laboratory indication e.g. neurological symptoms, macrocytic anaemia. </w:t>
      </w:r>
    </w:p>
    <w:p w14:paraId="4FD61F62" w14:textId="647EDF9F" w:rsidR="00C67947" w:rsidRDefault="00C67947" w:rsidP="002C13F2">
      <w:pPr>
        <w:pStyle w:val="NoSpacing"/>
        <w:rPr>
          <w:b/>
          <w:bCs/>
          <w:i/>
          <w:iCs/>
        </w:rPr>
      </w:pPr>
    </w:p>
    <w:p w14:paraId="7255BB9D" w14:textId="77777777" w:rsidR="00C67947" w:rsidRDefault="00C67947" w:rsidP="002C13F2">
      <w:pPr>
        <w:pStyle w:val="NoSpacing"/>
        <w:rPr>
          <w:b/>
          <w:bCs/>
          <w:i/>
          <w:iCs/>
        </w:rPr>
      </w:pPr>
    </w:p>
    <w:p w14:paraId="7D596157" w14:textId="2A625627" w:rsidR="00834820" w:rsidRPr="004B11F4" w:rsidRDefault="00A1539F" w:rsidP="002C13F2">
      <w:pPr>
        <w:pStyle w:val="NoSpacing"/>
        <w:rPr>
          <w:b/>
          <w:bCs/>
          <w:sz w:val="28"/>
          <w:szCs w:val="28"/>
        </w:rPr>
      </w:pPr>
      <w:hyperlink w:anchor="Raisedvitb12" w:history="1">
        <w:r w:rsidR="0077570E" w:rsidRPr="004B11F4">
          <w:rPr>
            <w:rStyle w:val="Hyperlink"/>
            <w:b/>
            <w:bCs/>
            <w:sz w:val="28"/>
            <w:szCs w:val="28"/>
          </w:rPr>
          <w:t>B12 Raised</w:t>
        </w:r>
      </w:hyperlink>
    </w:p>
    <w:p w14:paraId="198FEDB0" w14:textId="77777777" w:rsidR="0077570E" w:rsidRDefault="0077570E" w:rsidP="002C13F2">
      <w:pPr>
        <w:pStyle w:val="NoSpacing"/>
      </w:pPr>
    </w:p>
    <w:bookmarkEnd w:id="1"/>
    <w:p w14:paraId="38E67882" w14:textId="023F952C" w:rsidR="00B67358" w:rsidRDefault="00B67358" w:rsidP="002C13F2">
      <w:pPr>
        <w:pStyle w:val="NoSpacing"/>
      </w:pPr>
      <w:r>
        <w:t>Elevated B12 levels are common and non-specific.</w:t>
      </w:r>
    </w:p>
    <w:p w14:paraId="5C4A5C59" w14:textId="77777777" w:rsidR="00834820" w:rsidRDefault="00834820" w:rsidP="002C13F2">
      <w:pPr>
        <w:pStyle w:val="NoSpacing"/>
      </w:pPr>
    </w:p>
    <w:p w14:paraId="674D6ACA" w14:textId="45999345" w:rsidR="00FF7167" w:rsidRDefault="00FF7167" w:rsidP="002C13F2">
      <w:pPr>
        <w:pStyle w:val="NoSpacing"/>
      </w:pPr>
      <w:r>
        <w:t>Although B12 levels above the reference range have an association with cancer there is NO guidance about suggested investigation pathways.</w:t>
      </w:r>
    </w:p>
    <w:p w14:paraId="2FB3991B" w14:textId="77777777" w:rsidR="00C503EA" w:rsidRDefault="00C503EA" w:rsidP="002C13F2">
      <w:pPr>
        <w:pStyle w:val="NoSpacing"/>
      </w:pPr>
    </w:p>
    <w:p w14:paraId="483FE17A" w14:textId="0368A374" w:rsidR="00FF7167" w:rsidRDefault="00FF7167" w:rsidP="00FF7167">
      <w:r>
        <w:t xml:space="preserve">Causes </w:t>
      </w:r>
      <w:r w:rsidR="00EC4C7F">
        <w:t xml:space="preserve">of raised B12 </w:t>
      </w:r>
      <w:r>
        <w:t>include:</w:t>
      </w:r>
    </w:p>
    <w:p w14:paraId="55B9EB5F" w14:textId="77777777" w:rsidR="00FF7167" w:rsidRDefault="00FF7167" w:rsidP="00FF7167">
      <w:pPr>
        <w:pStyle w:val="ListParagraph"/>
        <w:numPr>
          <w:ilvl w:val="0"/>
          <w:numId w:val="8"/>
        </w:numPr>
      </w:pPr>
      <w:r>
        <w:t>Malignancy</w:t>
      </w:r>
    </w:p>
    <w:p w14:paraId="5887847C" w14:textId="77777777" w:rsidR="00FF7167" w:rsidRDefault="00FF7167" w:rsidP="00FF7167">
      <w:pPr>
        <w:pStyle w:val="ListParagraph"/>
        <w:numPr>
          <w:ilvl w:val="0"/>
          <w:numId w:val="8"/>
        </w:numPr>
      </w:pPr>
      <w:r>
        <w:t>Liver disease</w:t>
      </w:r>
    </w:p>
    <w:p w14:paraId="61F2753E" w14:textId="77777777" w:rsidR="00FF7167" w:rsidRDefault="00FF7167" w:rsidP="00FF7167">
      <w:pPr>
        <w:pStyle w:val="ListParagraph"/>
        <w:numPr>
          <w:ilvl w:val="0"/>
          <w:numId w:val="8"/>
        </w:numPr>
      </w:pPr>
      <w:r>
        <w:t>Alcohol excess</w:t>
      </w:r>
    </w:p>
    <w:p w14:paraId="2D88B074" w14:textId="77777777" w:rsidR="00FF7167" w:rsidRDefault="00FF7167" w:rsidP="00FF7167">
      <w:pPr>
        <w:pStyle w:val="ListParagraph"/>
        <w:numPr>
          <w:ilvl w:val="0"/>
          <w:numId w:val="8"/>
        </w:numPr>
      </w:pPr>
      <w:r>
        <w:t>Interstitial renal disease</w:t>
      </w:r>
    </w:p>
    <w:p w14:paraId="6FE61F50" w14:textId="77777777" w:rsidR="00FF7167" w:rsidRDefault="00FF7167" w:rsidP="00FF7167">
      <w:pPr>
        <w:pStyle w:val="ListParagraph"/>
        <w:numPr>
          <w:ilvl w:val="0"/>
          <w:numId w:val="8"/>
        </w:numPr>
      </w:pPr>
      <w:r>
        <w:t>Autoimmune disease</w:t>
      </w:r>
    </w:p>
    <w:p w14:paraId="6A4C43B6" w14:textId="77777777" w:rsidR="00FF7167" w:rsidRDefault="00FF7167" w:rsidP="00FF7167">
      <w:pPr>
        <w:pStyle w:val="ListParagraph"/>
        <w:numPr>
          <w:ilvl w:val="0"/>
          <w:numId w:val="8"/>
        </w:numPr>
      </w:pPr>
      <w:r>
        <w:t>Infectious disease</w:t>
      </w:r>
    </w:p>
    <w:p w14:paraId="0ACE7C81" w14:textId="77777777" w:rsidR="00FF7167" w:rsidRDefault="00FF7167" w:rsidP="00FF7167">
      <w:r>
        <w:t>Further tests should be guided by clinical symptoms and other blood tests results.</w:t>
      </w:r>
    </w:p>
    <w:p w14:paraId="2E8B1D1B" w14:textId="01CD79B5" w:rsidR="00FF7167" w:rsidRPr="007B216B" w:rsidRDefault="00FF7167" w:rsidP="00FF7167">
      <w:r w:rsidRPr="007B216B">
        <w:t>Haematology discussion is not required unless the FBC is abnormal.</w:t>
      </w:r>
    </w:p>
    <w:p w14:paraId="42C2C4B5" w14:textId="45013730" w:rsidR="00824CBF" w:rsidRPr="007B216B" w:rsidRDefault="00824CBF" w:rsidP="00FF7167"/>
    <w:p w14:paraId="4DA2DEFE" w14:textId="72B569D2" w:rsidR="00824CBF" w:rsidRPr="007B216B" w:rsidRDefault="007B216B" w:rsidP="00824CBF">
      <w:r w:rsidRPr="007B216B">
        <w:lastRenderedPageBreak/>
        <w:t>Recommended tests:</w:t>
      </w:r>
    </w:p>
    <w:p w14:paraId="7C519834" w14:textId="77777777" w:rsidR="00824CBF" w:rsidRPr="007B216B" w:rsidRDefault="00824CBF" w:rsidP="00824CBF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7B216B">
        <w:t>FBC</w:t>
      </w:r>
    </w:p>
    <w:p w14:paraId="6148EC3D" w14:textId="77777777" w:rsidR="00824CBF" w:rsidRPr="007B216B" w:rsidRDefault="00824CBF" w:rsidP="00824CBF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7B216B">
        <w:t>Renal function and LFTs</w:t>
      </w:r>
    </w:p>
    <w:p w14:paraId="459BC8FC" w14:textId="77777777" w:rsidR="00824CBF" w:rsidRPr="007B216B" w:rsidRDefault="00824CBF" w:rsidP="00824CBF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7B216B">
        <w:t>Clinical review for alcohol, liver disease, autoimmune disorder</w:t>
      </w:r>
    </w:p>
    <w:p w14:paraId="047A49D0" w14:textId="77777777" w:rsidR="00824CBF" w:rsidRPr="007B216B" w:rsidRDefault="00824CBF" w:rsidP="00824CBF"/>
    <w:p w14:paraId="626E5101" w14:textId="34A998D9" w:rsidR="00824CBF" w:rsidRPr="007B216B" w:rsidRDefault="00824CBF" w:rsidP="00824CBF">
      <w:r w:rsidRPr="007B216B">
        <w:t>Tests to consider</w:t>
      </w:r>
      <w:r w:rsidR="007B216B" w:rsidRPr="007B216B">
        <w:t>:</w:t>
      </w:r>
    </w:p>
    <w:p w14:paraId="3D268627" w14:textId="77777777" w:rsidR="00824CBF" w:rsidRPr="007B216B" w:rsidRDefault="00824CBF" w:rsidP="00824CBF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7B216B">
        <w:t>Myeloma screen</w:t>
      </w:r>
    </w:p>
    <w:p w14:paraId="09F56A80" w14:textId="77777777" w:rsidR="00824CBF" w:rsidRPr="007B216B" w:rsidRDefault="00824CBF" w:rsidP="00824CBF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7B216B">
        <w:t>USS abdomen</w:t>
      </w:r>
    </w:p>
    <w:p w14:paraId="12BBCFAC" w14:textId="77777777" w:rsidR="00824CBF" w:rsidRDefault="00824CBF" w:rsidP="00FF7167"/>
    <w:p w14:paraId="0034A309" w14:textId="5E0B629B" w:rsidR="008265D8" w:rsidRDefault="008265D8" w:rsidP="00FF7167"/>
    <w:p w14:paraId="2F94EC49" w14:textId="1FCDB716" w:rsidR="00C67947" w:rsidRPr="004B11F4" w:rsidRDefault="00C67947" w:rsidP="00C67947">
      <w:pPr>
        <w:rPr>
          <w:b/>
          <w:bCs/>
          <w:sz w:val="28"/>
          <w:szCs w:val="28"/>
        </w:rPr>
      </w:pPr>
      <w:bookmarkStart w:id="2" w:name="CLL"/>
      <w:r w:rsidRPr="004B11F4">
        <w:rPr>
          <w:b/>
          <w:bCs/>
          <w:sz w:val="28"/>
          <w:szCs w:val="28"/>
        </w:rPr>
        <w:t>CLL -Standard advice on discharge of Stage A Chronic Lymphocytic Leukaemia (CLL) back to primary care</w:t>
      </w:r>
    </w:p>
    <w:bookmarkEnd w:id="2"/>
    <w:p w14:paraId="7F39878E" w14:textId="77777777" w:rsidR="00C67947" w:rsidRDefault="00C67947" w:rsidP="00C67947">
      <w:r>
        <w:t>Please monitor FBC at 6 – 12 monthly intervals and discuss again with Haematology if the patient;</w:t>
      </w:r>
    </w:p>
    <w:p w14:paraId="5D124706" w14:textId="77777777" w:rsidR="00C67947" w:rsidRDefault="00C67947" w:rsidP="00C67947">
      <w:pPr>
        <w:pStyle w:val="ListParagraph"/>
        <w:numPr>
          <w:ilvl w:val="0"/>
          <w:numId w:val="3"/>
        </w:numPr>
      </w:pPr>
      <w:r>
        <w:t xml:space="preserve">Develops unexplained anaemia (Hb &lt;100 g/l), unexplained thrombocytopenia (platelet count &lt;80) </w:t>
      </w:r>
      <w:r w:rsidRPr="004F0156">
        <w:rPr>
          <w:u w:val="single"/>
        </w:rPr>
        <w:t xml:space="preserve">WITH </w:t>
      </w:r>
      <w:r>
        <w:t>a rising lymphocyte count</w:t>
      </w:r>
    </w:p>
    <w:p w14:paraId="213B9583" w14:textId="77777777" w:rsidR="00C67947" w:rsidRDefault="00C67947" w:rsidP="00C67947">
      <w:pPr>
        <w:pStyle w:val="ListParagraph"/>
        <w:numPr>
          <w:ilvl w:val="0"/>
          <w:numId w:val="3"/>
        </w:numPr>
      </w:pPr>
      <w:r>
        <w:t>Lymphocyte doubling time of 6 months or less</w:t>
      </w:r>
    </w:p>
    <w:p w14:paraId="05E37E63" w14:textId="77777777" w:rsidR="00C67947" w:rsidRDefault="00C67947" w:rsidP="00C67947">
      <w:pPr>
        <w:pStyle w:val="ListParagraph"/>
        <w:numPr>
          <w:ilvl w:val="0"/>
          <w:numId w:val="3"/>
        </w:numPr>
      </w:pPr>
      <w:r>
        <w:t>New lymphadenopathy, B symptoms (drenching night sweats, unexplained weight loss of &gt;10% over 6 month period).</w:t>
      </w:r>
    </w:p>
    <w:p w14:paraId="75D2B5CA" w14:textId="03744D7F" w:rsidR="00C67947" w:rsidRDefault="00C67947" w:rsidP="00C67947">
      <w:r>
        <w:t>Patients should also receive standard routine vaccination for Pneumococcus, Haemophilus Influenza, and Meningitis C, the annual influenza vaccination and AVOID live vaccinations such as shingles</w:t>
      </w:r>
    </w:p>
    <w:p w14:paraId="749BBA1A" w14:textId="153F5F26" w:rsidR="009F39AD" w:rsidRDefault="009F39AD"/>
    <w:p w14:paraId="14B6F006" w14:textId="4222D3DC" w:rsidR="00B85F69" w:rsidRPr="004B11F4" w:rsidRDefault="00706CB0" w:rsidP="00B85F69">
      <w:pPr>
        <w:rPr>
          <w:b/>
          <w:bCs/>
          <w:sz w:val="28"/>
          <w:szCs w:val="28"/>
        </w:rPr>
      </w:pPr>
      <w:bookmarkStart w:id="3" w:name="Ferritinraised"/>
      <w:r w:rsidRPr="004B11F4">
        <w:rPr>
          <w:b/>
          <w:bCs/>
          <w:sz w:val="28"/>
          <w:szCs w:val="28"/>
        </w:rPr>
        <w:t>F</w:t>
      </w:r>
      <w:r w:rsidR="00B85F69" w:rsidRPr="004B11F4">
        <w:rPr>
          <w:b/>
          <w:bCs/>
          <w:sz w:val="28"/>
          <w:szCs w:val="28"/>
        </w:rPr>
        <w:t>erritin</w:t>
      </w:r>
      <w:r w:rsidRPr="004B11F4">
        <w:rPr>
          <w:b/>
          <w:bCs/>
          <w:sz w:val="28"/>
          <w:szCs w:val="28"/>
        </w:rPr>
        <w:t>-raised</w:t>
      </w:r>
      <w:r w:rsidR="00B67358" w:rsidRPr="004B11F4">
        <w:rPr>
          <w:b/>
          <w:bCs/>
          <w:sz w:val="28"/>
          <w:szCs w:val="28"/>
        </w:rPr>
        <w:t xml:space="preserve"> </w:t>
      </w:r>
    </w:p>
    <w:bookmarkEnd w:id="3"/>
    <w:p w14:paraId="5AB28BC2" w14:textId="77777777" w:rsidR="00B85F69" w:rsidRDefault="00B85F69" w:rsidP="00B85F69">
      <w:r>
        <w:t>Ferritin is an acute phase reactant so please check inflammatory markers (ESR / CRP).</w:t>
      </w:r>
    </w:p>
    <w:p w14:paraId="0EA88864" w14:textId="77777777" w:rsidR="00B85F69" w:rsidRPr="00525664" w:rsidRDefault="00B85F69" w:rsidP="00B85F69">
      <w:pPr>
        <w:rPr>
          <w:u w:val="single"/>
        </w:rPr>
      </w:pPr>
      <w:r>
        <w:t>Check liver function tests and review drug / alcohol history.</w:t>
      </w:r>
    </w:p>
    <w:p w14:paraId="728521EB" w14:textId="7F09D586" w:rsidR="00B85F69" w:rsidRPr="008B6A90" w:rsidRDefault="00B85F69" w:rsidP="00B85F69">
      <w:pPr>
        <w:pStyle w:val="ListParagraph"/>
        <w:numPr>
          <w:ilvl w:val="0"/>
          <w:numId w:val="2"/>
        </w:numPr>
        <w:rPr>
          <w:u w:val="single"/>
        </w:rPr>
      </w:pPr>
      <w:r>
        <w:t>If ferritin persistently elevated and fasting transferrin saturation &gt;50% in males and 40% in females then discuss with</w:t>
      </w:r>
      <w:r w:rsidRPr="006C05B9">
        <w:rPr>
          <w:bCs/>
        </w:rPr>
        <w:t xml:space="preserve"> </w:t>
      </w:r>
      <w:r w:rsidR="006C05B9" w:rsidRPr="006C05B9">
        <w:rPr>
          <w:bCs/>
        </w:rPr>
        <w:t>hepatology</w:t>
      </w:r>
      <w:r w:rsidR="006C05B9">
        <w:rPr>
          <w:b/>
          <w:bCs/>
          <w:sz w:val="24"/>
          <w:szCs w:val="24"/>
        </w:rPr>
        <w:t xml:space="preserve"> </w:t>
      </w:r>
      <w:hyperlink r:id="rId8" w:history="1">
        <w:r w:rsidR="006C05B9" w:rsidRPr="001A7761">
          <w:rPr>
            <w:rStyle w:val="Hyperlink"/>
            <w:b/>
            <w:bCs/>
            <w:sz w:val="24"/>
            <w:szCs w:val="24"/>
          </w:rPr>
          <w:t>(Eastern Liver Guidelines)</w:t>
        </w:r>
      </w:hyperlink>
    </w:p>
    <w:p w14:paraId="78731A0C" w14:textId="7B424032" w:rsidR="00B85F69" w:rsidRPr="008B6A90" w:rsidRDefault="006C05B9" w:rsidP="00B85F69">
      <w:pPr>
        <w:pStyle w:val="ListParagraph"/>
        <w:numPr>
          <w:ilvl w:val="0"/>
          <w:numId w:val="2"/>
        </w:numPr>
        <w:rPr>
          <w:u w:val="single"/>
        </w:rPr>
      </w:pPr>
      <w:r>
        <w:t>P</w:t>
      </w:r>
      <w:r w:rsidR="00B85F69">
        <w:t>ersistently raised ferritin, please check table below (from</w:t>
      </w:r>
      <w:hyperlink r:id="rId9" w:history="1">
        <w:r w:rsidR="00B85F69" w:rsidRPr="00706CB0">
          <w:rPr>
            <w:rStyle w:val="Hyperlink"/>
          </w:rPr>
          <w:t xml:space="preserve"> BSH guidance 2018).</w:t>
        </w:r>
      </w:hyperlink>
    </w:p>
    <w:p w14:paraId="72BB2AED" w14:textId="77777777" w:rsidR="00B85F69" w:rsidRDefault="00B85F69" w:rsidP="00B85F69">
      <w:pPr>
        <w:pStyle w:val="ListParagrap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3101"/>
        <w:gridCol w:w="2505"/>
      </w:tblGrid>
      <w:tr w:rsidR="00B85F69" w:rsidRPr="001703EE" w14:paraId="1DCB4E67" w14:textId="77777777" w:rsidTr="007B216B">
        <w:trPr>
          <w:tblHeader/>
          <w:tblCellSpacing w:w="15" w:type="dxa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496B7C87" w14:textId="77777777" w:rsidR="00B85F69" w:rsidRPr="001703EE" w:rsidRDefault="00B85F69" w:rsidP="003137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Increased ferritin synthesis due to iron accumulation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3B95290D" w14:textId="77777777" w:rsidR="00B85F69" w:rsidRPr="001703EE" w:rsidRDefault="00B85F69" w:rsidP="003137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Increase in ferritin synthesis not associated with significant iron accumulation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6454A1AD" w14:textId="77777777" w:rsidR="00B85F69" w:rsidRPr="001703EE" w:rsidRDefault="00B85F69" w:rsidP="003137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Increased ferritin as a result of cellular damage</w:t>
            </w:r>
          </w:p>
        </w:tc>
      </w:tr>
      <w:tr w:rsidR="00B85F69" w:rsidRPr="001703EE" w14:paraId="0BC6C50B" w14:textId="77777777" w:rsidTr="007B216B">
        <w:trPr>
          <w:tblCellSpacing w:w="15" w:type="dxa"/>
        </w:trPr>
        <w:tc>
          <w:tcPr>
            <w:tcW w:w="1870" w:type="pct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1B8B961E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Hereditary (genetic) haemochromatosis</w:t>
            </w:r>
          </w:p>
          <w:p w14:paraId="550AC86D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Hereditary acaeruloplasminaemia</w:t>
            </w:r>
          </w:p>
          <w:p w14:paraId="19B7DB09" w14:textId="07124FAF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Secondary iron overload from blood transfusion or excessive iron intake</w:t>
            </w:r>
          </w:p>
          <w:p w14:paraId="3D5AAF27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lastRenderedPageBreak/>
              <w:t>Ineffective erythropoiesis: sideroblastic anaemia, some myelodysplastic syndromes (e.g. refractory anaemia with ring sideroblasts)</w:t>
            </w:r>
          </w:p>
          <w:p w14:paraId="5AFE3E90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Thalassaemias</w:t>
            </w:r>
          </w:p>
          <w:p w14:paraId="66B2FA85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Atransferrinaemia</w:t>
            </w:r>
          </w:p>
          <w:p w14:paraId="7B41A2D8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Ferroportin disease</w:t>
            </w:r>
          </w:p>
        </w:tc>
        <w:tc>
          <w:tcPr>
            <w:tcW w:w="1701" w:type="pct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20113334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lastRenderedPageBreak/>
              <w:t>Malignancies</w:t>
            </w:r>
          </w:p>
          <w:p w14:paraId="4EE619BF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Malignant or reactive histiocytosis</w:t>
            </w:r>
          </w:p>
          <w:p w14:paraId="6C7695A4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Hereditary hyperferritinaemia with and without cataracts</w:t>
            </w:r>
          </w:p>
          <w:p w14:paraId="1C57ABF1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lastRenderedPageBreak/>
              <w:t>Gaucher disease</w:t>
            </w:r>
          </w:p>
          <w:p w14:paraId="6A6BFDA9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Acute and chronic infections</w:t>
            </w:r>
          </w:p>
          <w:p w14:paraId="4BEF36AD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Chronic inflammatory disorders</w:t>
            </w:r>
          </w:p>
          <w:p w14:paraId="33117579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t>Autoimmune disorders</w:t>
            </w:r>
          </w:p>
          <w:p w14:paraId="3FD468A4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</w:p>
        </w:tc>
        <w:tc>
          <w:tcPr>
            <w:tcW w:w="1363" w:type="pct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4CD72AF4" w14:textId="4B8CD527" w:rsidR="00FD20A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vanish/>
                <w:color w:val="FFFFFF"/>
                <w:sz w:val="20"/>
                <w:szCs w:val="20"/>
                <w:shd w:val="clear" w:color="auto" w:fill="5B5A59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lastRenderedPageBreak/>
              <w:t>Liver diseases including: liver necrosis, chronic viral hepatitis, alcoholic and non-alcoholic steatohepatitis</w:t>
            </w:r>
            <w:r w:rsidRPr="001703EE">
              <w:rPr>
                <w:rFonts w:eastAsia="Times New Roman" w:cstheme="minorHAnsi"/>
                <w:i/>
                <w:iCs/>
                <w:vanish/>
                <w:color w:val="FFFFFF"/>
                <w:sz w:val="20"/>
                <w:szCs w:val="20"/>
                <w:shd w:val="clear" w:color="auto" w:fill="5B5A59"/>
                <w:vertAlign w:val="superscript"/>
                <w:lang w:eastAsia="en-GB"/>
              </w:rPr>
              <w:t>a</w:t>
            </w:r>
            <w:r w:rsidRPr="001703EE">
              <w:rPr>
                <w:rFonts w:eastAsia="Times New Roman" w:cstheme="minorHAnsi"/>
                <w:vanish/>
                <w:color w:val="FFFFFF"/>
                <w:sz w:val="20"/>
                <w:szCs w:val="20"/>
                <w:shd w:val="clear" w:color="auto" w:fill="5B5A59"/>
                <w:lang w:eastAsia="en-GB"/>
              </w:rPr>
              <w:t xml:space="preserve"> </w:t>
            </w:r>
          </w:p>
          <w:p w14:paraId="52BF3292" w14:textId="1C283071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vanish/>
                <w:color w:val="FFFFFF"/>
                <w:sz w:val="20"/>
                <w:szCs w:val="20"/>
                <w:shd w:val="clear" w:color="auto" w:fill="5B5A59"/>
                <w:lang w:eastAsia="en-GB"/>
              </w:rPr>
              <w:t xml:space="preserve">May also have iron overloading. </w:t>
            </w:r>
            <w:r w:rsidRPr="001703EE">
              <w:rPr>
                <w:rFonts w:eastAsia="Times New Roman" w:cstheme="minorHAnsi"/>
                <w:vanish/>
                <w:color w:val="FFFFFF"/>
                <w:sz w:val="20"/>
                <w:szCs w:val="20"/>
                <w:shd w:val="clear" w:color="auto" w:fill="5B5A59"/>
                <w:lang w:eastAsia="en-GB"/>
              </w:rPr>
              <w:br/>
            </w:r>
          </w:p>
          <w:p w14:paraId="0C03E076" w14:textId="77777777" w:rsidR="00B85F69" w:rsidRPr="001703EE" w:rsidRDefault="00B85F69" w:rsidP="003137F4">
            <w:pPr>
              <w:spacing w:before="75" w:after="75" w:line="240" w:lineRule="auto"/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</w:pPr>
            <w:r w:rsidRPr="001703EE">
              <w:rPr>
                <w:rFonts w:eastAsia="Times New Roman" w:cstheme="minorHAnsi"/>
                <w:color w:val="1C1D1E"/>
                <w:sz w:val="20"/>
                <w:szCs w:val="20"/>
                <w:lang w:eastAsia="en-GB"/>
              </w:rPr>
              <w:lastRenderedPageBreak/>
              <w:t>Chronic excess alcohol consumption</w:t>
            </w:r>
          </w:p>
        </w:tc>
      </w:tr>
    </w:tbl>
    <w:p w14:paraId="6381F6FC" w14:textId="77777777" w:rsidR="00B85F69" w:rsidRPr="007B216B" w:rsidRDefault="00B85F69" w:rsidP="007B216B">
      <w:pPr>
        <w:rPr>
          <w:u w:val="single"/>
        </w:rPr>
      </w:pPr>
    </w:p>
    <w:p w14:paraId="1BDCBA36" w14:textId="394ECBCE" w:rsidR="00A529D6" w:rsidRPr="004B11F4" w:rsidRDefault="00A529D6" w:rsidP="00A529D6">
      <w:pPr>
        <w:rPr>
          <w:b/>
          <w:bCs/>
          <w:sz w:val="28"/>
          <w:szCs w:val="28"/>
        </w:rPr>
      </w:pPr>
      <w:bookmarkStart w:id="4" w:name="Immunoglobulinsproteinelectrophoresis"/>
      <w:bookmarkStart w:id="5" w:name="Macrocytosis"/>
      <w:r w:rsidRPr="004B11F4">
        <w:rPr>
          <w:b/>
          <w:bCs/>
          <w:sz w:val="28"/>
          <w:szCs w:val="28"/>
        </w:rPr>
        <w:t>Immunoglobulins and protein electrophoresis</w:t>
      </w:r>
      <w:bookmarkEnd w:id="4"/>
    </w:p>
    <w:p w14:paraId="27512600" w14:textId="47E441FD" w:rsidR="00A529D6" w:rsidRDefault="00A529D6" w:rsidP="00A529D6">
      <w:pPr>
        <w:rPr>
          <w:rStyle w:val="fontstyle01"/>
        </w:rPr>
      </w:pPr>
      <w:r>
        <w:rPr>
          <w:rStyle w:val="fontstyle01"/>
        </w:rPr>
        <w:t>Paraprotein</w:t>
      </w:r>
      <w:r w:rsidR="00083DC7">
        <w:rPr>
          <w:rStyle w:val="fontstyle01"/>
        </w:rPr>
        <w:t>s</w:t>
      </w:r>
      <w:r>
        <w:rPr>
          <w:rStyle w:val="fontstyle01"/>
        </w:rPr>
        <w:t xml:space="preserve"> are identified with the serum protein electrophoresis </w:t>
      </w:r>
      <w:r w:rsidR="00083DC7">
        <w:rPr>
          <w:rStyle w:val="fontstyle01"/>
        </w:rPr>
        <w:t>test</w:t>
      </w:r>
      <w:r w:rsidR="00EC45F0">
        <w:rPr>
          <w:rStyle w:val="fontstyle01"/>
        </w:rPr>
        <w:t xml:space="preserve"> </w:t>
      </w:r>
    </w:p>
    <w:p w14:paraId="6F2B8C6A" w14:textId="3A31A1A9" w:rsidR="00A529D6" w:rsidRDefault="00A529D6" w:rsidP="00A529D6">
      <w:pPr>
        <w:rPr>
          <w:rStyle w:val="fontstyle01"/>
        </w:rPr>
      </w:pPr>
      <w:r>
        <w:rPr>
          <w:rStyle w:val="fontstyle01"/>
        </w:rPr>
        <w:t>The tests report</w:t>
      </w:r>
      <w:r w:rsidR="00E07EF1">
        <w:rPr>
          <w:rStyle w:val="fontstyle01"/>
        </w:rPr>
        <w:t xml:space="preserve"> </w:t>
      </w:r>
      <w:r>
        <w:rPr>
          <w:rStyle w:val="fontstyle01"/>
        </w:rPr>
        <w:t>the levels of different immunoglobulins and whether there is a paraprotein there or not</w:t>
      </w:r>
    </w:p>
    <w:p w14:paraId="74B6A41C" w14:textId="77777777" w:rsidR="00A529D6" w:rsidRDefault="00A529D6" w:rsidP="00A529D6">
      <w:pPr>
        <w:rPr>
          <w:rStyle w:val="fontstyle01"/>
        </w:rPr>
      </w:pPr>
      <w:r>
        <w:rPr>
          <w:rStyle w:val="fontstyle01"/>
        </w:rPr>
        <w:t>The following guidance refers to the presence of a paraprotein (i.e. a monoclonal protein) – not to the total IgG, IgA or IgM, any of which if raised is a non-specific finding.</w:t>
      </w:r>
    </w:p>
    <w:p w14:paraId="1DC2ABB4" w14:textId="77777777" w:rsidR="00A529D6" w:rsidRDefault="00A529D6" w:rsidP="00A529D6">
      <w:pPr>
        <w:rPr>
          <w:rStyle w:val="fontstyle01"/>
        </w:rPr>
      </w:pPr>
    </w:p>
    <w:p w14:paraId="5041D0A9" w14:textId="77777777" w:rsidR="00A529D6" w:rsidRDefault="00A529D6" w:rsidP="00A529D6">
      <w:pPr>
        <w:rPr>
          <w:rStyle w:val="fontstyle01"/>
        </w:rPr>
      </w:pPr>
      <w:r>
        <w:rPr>
          <w:rStyle w:val="fontstyle01"/>
        </w:rPr>
        <w:t>Discuss with haematology if a paraprotein is detected AND any of the following abnormalities are also present:</w:t>
      </w:r>
    </w:p>
    <w:p w14:paraId="07EECD0C" w14:textId="77777777" w:rsidR="00A529D6" w:rsidRPr="00234C3C" w:rsidRDefault="00A529D6" w:rsidP="00A529D6">
      <w:pPr>
        <w:pStyle w:val="ListParagraph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Style w:val="fontstyle01"/>
        </w:rPr>
        <w:t>Hypercalcaemia</w:t>
      </w:r>
    </w:p>
    <w:p w14:paraId="6F3CFD2E" w14:textId="77777777" w:rsidR="00A529D6" w:rsidRPr="00234C3C" w:rsidRDefault="00A529D6" w:rsidP="00C82A91">
      <w:pPr>
        <w:pStyle w:val="ListParagraph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Style w:val="fontstyle01"/>
        </w:rPr>
        <w:t>Renal impairment</w:t>
      </w:r>
    </w:p>
    <w:p w14:paraId="11C9B3EB" w14:textId="77777777" w:rsidR="00A529D6" w:rsidRPr="00234C3C" w:rsidRDefault="00A529D6" w:rsidP="00C82A91">
      <w:pPr>
        <w:pStyle w:val="ListParagraph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Style w:val="fontstyle01"/>
        </w:rPr>
        <w:t>Unexplained Anaemia</w:t>
      </w:r>
    </w:p>
    <w:p w14:paraId="0207E88F" w14:textId="77777777" w:rsidR="00A529D6" w:rsidRDefault="00A529D6" w:rsidP="00C82A91">
      <w:pPr>
        <w:pStyle w:val="ListParagraph"/>
        <w:numPr>
          <w:ilvl w:val="0"/>
          <w:numId w:val="9"/>
        </w:numPr>
        <w:rPr>
          <w:rStyle w:val="fontstyle01"/>
        </w:rPr>
      </w:pPr>
      <w:r>
        <w:rPr>
          <w:rStyle w:val="fontstyle01"/>
        </w:rPr>
        <w:t>Lytic lesions or osteoporosis with compression fractures</w:t>
      </w:r>
    </w:p>
    <w:p w14:paraId="0471738B" w14:textId="77777777" w:rsidR="00A529D6" w:rsidRPr="00234C3C" w:rsidRDefault="00A529D6" w:rsidP="00C82A91">
      <w:pPr>
        <w:pStyle w:val="ListParagraph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Style w:val="fontstyle01"/>
        </w:rPr>
        <w:t>B symptoms (weight loss, night sweats, fevers)</w:t>
      </w:r>
    </w:p>
    <w:p w14:paraId="0F6A5AD1" w14:textId="77777777" w:rsidR="00A529D6" w:rsidRDefault="00A529D6" w:rsidP="00C82A91">
      <w:pPr>
        <w:pStyle w:val="ListParagraph"/>
        <w:numPr>
          <w:ilvl w:val="0"/>
          <w:numId w:val="9"/>
        </w:numPr>
        <w:rPr>
          <w:rStyle w:val="fontstyle01"/>
        </w:rPr>
      </w:pPr>
      <w:r>
        <w:rPr>
          <w:rStyle w:val="fontstyle01"/>
        </w:rPr>
        <w:t>Lymphadenopathy or hepatosplenomegaly</w:t>
      </w:r>
    </w:p>
    <w:p w14:paraId="7E2ABAAF" w14:textId="77777777" w:rsidR="00A529D6" w:rsidRDefault="00A529D6" w:rsidP="00C82A91">
      <w:pPr>
        <w:pStyle w:val="ListParagraph"/>
        <w:numPr>
          <w:ilvl w:val="0"/>
          <w:numId w:val="9"/>
        </w:numPr>
        <w:rPr>
          <w:rStyle w:val="fontstyle01"/>
        </w:rPr>
      </w:pPr>
      <w:r>
        <w:rPr>
          <w:rStyle w:val="fontstyle01"/>
        </w:rPr>
        <w:t>Recurrent bacterial infections (&gt;2 episodes in 12 month)</w:t>
      </w:r>
    </w:p>
    <w:p w14:paraId="4848DA6D" w14:textId="77777777" w:rsidR="00A529D6" w:rsidRDefault="00A529D6" w:rsidP="00A529D6">
      <w:pPr>
        <w:rPr>
          <w:rStyle w:val="fontstyle01"/>
        </w:rPr>
      </w:pPr>
    </w:p>
    <w:p w14:paraId="7D86777A" w14:textId="77777777" w:rsidR="007B216B" w:rsidRDefault="007B216B" w:rsidP="00A529D6">
      <w:pPr>
        <w:rPr>
          <w:rStyle w:val="fontstyle01"/>
        </w:rPr>
      </w:pPr>
    </w:p>
    <w:p w14:paraId="347A816F" w14:textId="77777777" w:rsidR="007B216B" w:rsidRDefault="007B216B" w:rsidP="00A529D6">
      <w:pPr>
        <w:rPr>
          <w:rStyle w:val="fontstyle01"/>
        </w:rPr>
      </w:pPr>
    </w:p>
    <w:p w14:paraId="396114A5" w14:textId="77777777" w:rsidR="007B216B" w:rsidRDefault="007B216B" w:rsidP="00A529D6">
      <w:pPr>
        <w:rPr>
          <w:rStyle w:val="fontstyle01"/>
        </w:rPr>
      </w:pPr>
    </w:p>
    <w:p w14:paraId="3207352A" w14:textId="77777777" w:rsidR="007B216B" w:rsidRDefault="007B216B" w:rsidP="00A529D6">
      <w:pPr>
        <w:rPr>
          <w:rStyle w:val="fontstyle01"/>
        </w:rPr>
      </w:pPr>
    </w:p>
    <w:p w14:paraId="6AC5DBDA" w14:textId="77777777" w:rsidR="007B216B" w:rsidRDefault="007B216B" w:rsidP="00A529D6">
      <w:pPr>
        <w:rPr>
          <w:rStyle w:val="fontstyle01"/>
        </w:rPr>
      </w:pPr>
    </w:p>
    <w:p w14:paraId="35B5E359" w14:textId="77777777" w:rsidR="007B216B" w:rsidRDefault="007B216B" w:rsidP="00A529D6">
      <w:pPr>
        <w:rPr>
          <w:rStyle w:val="fontstyle01"/>
        </w:rPr>
      </w:pPr>
    </w:p>
    <w:p w14:paraId="2DF059CC" w14:textId="77777777" w:rsidR="00A529D6" w:rsidRDefault="00A529D6" w:rsidP="00A529D6">
      <w:pPr>
        <w:rPr>
          <w:rStyle w:val="fontstyle01"/>
        </w:rPr>
      </w:pPr>
      <w:r>
        <w:rPr>
          <w:rStyle w:val="fontstyle01"/>
        </w:rPr>
        <w:lastRenderedPageBreak/>
        <w:t>For any paraprotein detected on routine tests or for other symptoms, please follow the diagram below:</w:t>
      </w:r>
    </w:p>
    <w:p w14:paraId="0A464478" w14:textId="77777777" w:rsidR="007B216B" w:rsidRDefault="007B216B" w:rsidP="00A529D6">
      <w:pPr>
        <w:rPr>
          <w:sz w:val="24"/>
          <w:szCs w:val="24"/>
        </w:rPr>
      </w:pPr>
    </w:p>
    <w:p w14:paraId="46E6AE2E" w14:textId="43901A1B" w:rsidR="00A529D6" w:rsidRDefault="002B3C26" w:rsidP="00A529D6">
      <w:pPr>
        <w:rPr>
          <w:sz w:val="24"/>
          <w:szCs w:val="24"/>
        </w:rPr>
      </w:pPr>
      <w:r w:rsidRPr="00CB66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F30E8FD" wp14:editId="79FD9712">
                <wp:simplePos x="0" y="0"/>
                <wp:positionH relativeFrom="margin">
                  <wp:posOffset>-104775</wp:posOffset>
                </wp:positionH>
                <wp:positionV relativeFrom="paragraph">
                  <wp:posOffset>88265</wp:posOffset>
                </wp:positionV>
                <wp:extent cx="3221355" cy="620395"/>
                <wp:effectExtent l="0" t="0" r="17145" b="273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E0006" w14:textId="7F1C7B3A" w:rsidR="00A529D6" w:rsidRPr="00340F10" w:rsidRDefault="00A529D6" w:rsidP="00A529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0F10">
                              <w:rPr>
                                <w:sz w:val="20"/>
                                <w:szCs w:val="20"/>
                              </w:rPr>
                              <w:t>IgG, IgA or IgM paraprotein 15g/L or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0E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6.95pt;width:253.65pt;height:48.8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">
                <v:textbox>
                  <w:txbxContent>
                    <w:p w14:paraId="787E0006" w14:textId="7F1C7B3A" w:rsidR="00A529D6" w:rsidRPr="00340F10" w:rsidRDefault="00A529D6" w:rsidP="00A52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0F10">
                        <w:rPr>
                          <w:sz w:val="20"/>
                          <w:szCs w:val="20"/>
                        </w:rPr>
                        <w:t>IgG, IgA or IgM paraprotein 15g/L or less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F10" w:rsidRPr="00CB66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46114" wp14:editId="51FC7DD6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2628900" cy="6096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1CF63" w14:textId="77777777" w:rsidR="00A529D6" w:rsidRPr="00340F10" w:rsidRDefault="00A529D6" w:rsidP="00A529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0F10">
                              <w:rPr>
                                <w:sz w:val="20"/>
                                <w:szCs w:val="20"/>
                              </w:rPr>
                              <w:t>IgG , IgA or IgM paraprotein more than 15 g 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6114" id="_x0000_s1027" type="#_x0000_t202" style="position:absolute;margin-left:270pt;margin-top:8.4pt;width:207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DKEAIAACY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">
                <v:textbox>
                  <w:txbxContent>
                    <w:p w14:paraId="7801CF63" w14:textId="77777777" w:rsidR="00A529D6" w:rsidRPr="00340F10" w:rsidRDefault="00A529D6" w:rsidP="00A52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0F10">
                        <w:rPr>
                          <w:sz w:val="20"/>
                          <w:szCs w:val="20"/>
                        </w:rPr>
                        <w:t>IgG , IgA or IgM paraprotein more than 15 g /L</w:t>
                      </w:r>
                    </w:p>
                  </w:txbxContent>
                </v:textbox>
              </v:shape>
            </w:pict>
          </mc:Fallback>
        </mc:AlternateContent>
      </w:r>
    </w:p>
    <w:p w14:paraId="1AB4FB5F" w14:textId="77777777" w:rsidR="00A529D6" w:rsidRDefault="00A529D6" w:rsidP="00A529D6">
      <w:pPr>
        <w:rPr>
          <w:sz w:val="24"/>
          <w:szCs w:val="24"/>
        </w:rPr>
      </w:pPr>
    </w:p>
    <w:p w14:paraId="2C1C2B21" w14:textId="5F305EE8" w:rsidR="00A529D6" w:rsidRDefault="00F56C7F" w:rsidP="00A529D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51F70" wp14:editId="29D9F76E">
                <wp:simplePos x="0" y="0"/>
                <wp:positionH relativeFrom="column">
                  <wp:posOffset>476250</wp:posOffset>
                </wp:positionH>
                <wp:positionV relativeFrom="paragraph">
                  <wp:posOffset>121920</wp:posOffset>
                </wp:positionV>
                <wp:extent cx="800100" cy="371475"/>
                <wp:effectExtent l="38100" t="0" r="190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F19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7.5pt;margin-top:9.6pt;width:63pt;height:29.25pt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" strokecolor="#5b9bd5 [3204]" strokeweight=".5pt">
                <v:stroke endarrow="block" joinstyle="miter"/>
              </v:shape>
            </w:pict>
          </mc:Fallback>
        </mc:AlternateContent>
      </w:r>
      <w:r w:rsidR="00D24B8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F60B7" wp14:editId="5E744B37">
                <wp:simplePos x="0" y="0"/>
                <wp:positionH relativeFrom="column">
                  <wp:posOffset>4686300</wp:posOffset>
                </wp:positionH>
                <wp:positionV relativeFrom="paragraph">
                  <wp:posOffset>121919</wp:posOffset>
                </wp:positionV>
                <wp:extent cx="0" cy="1216025"/>
                <wp:effectExtent l="76200" t="0" r="57150" b="603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6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87790" id="Straight Arrow Connector 2" o:spid="_x0000_s1026" type="#_x0000_t32" style="position:absolute;margin-left:369pt;margin-top:9.6pt;width:0;height:9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  <w:r w:rsidR="002B3C2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9196F" wp14:editId="790DB072">
                <wp:simplePos x="0" y="0"/>
                <wp:positionH relativeFrom="column">
                  <wp:posOffset>1377538</wp:posOffset>
                </wp:positionH>
                <wp:positionV relativeFrom="paragraph">
                  <wp:posOffset>117426</wp:posOffset>
                </wp:positionV>
                <wp:extent cx="1026226" cy="356259"/>
                <wp:effectExtent l="0" t="0" r="59690" b="628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226" cy="3562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A1C8" id="Straight Arrow Connector 1" o:spid="_x0000_s1026" type="#_x0000_t32" style="position:absolute;margin-left:108.45pt;margin-top:9.25pt;width:80.8pt;height:2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</w:p>
    <w:p w14:paraId="4FAF4CA1" w14:textId="4339F2CF" w:rsidR="00A529D6" w:rsidRDefault="002B3C26" w:rsidP="00A529D6">
      <w:pPr>
        <w:rPr>
          <w:sz w:val="24"/>
          <w:szCs w:val="24"/>
        </w:rPr>
      </w:pPr>
      <w:r w:rsidRPr="00CB66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9AB82A0" wp14:editId="2713212B">
                <wp:simplePos x="0" y="0"/>
                <wp:positionH relativeFrom="column">
                  <wp:posOffset>-100330</wp:posOffset>
                </wp:positionH>
                <wp:positionV relativeFrom="paragraph">
                  <wp:posOffset>189230</wp:posOffset>
                </wp:positionV>
                <wp:extent cx="1543050" cy="537845"/>
                <wp:effectExtent l="0" t="0" r="19050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7E7EC" w14:textId="77777777" w:rsidR="00A529D6" w:rsidRPr="00235331" w:rsidRDefault="00A529D6" w:rsidP="00A529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5331">
                              <w:rPr>
                                <w:sz w:val="20"/>
                                <w:szCs w:val="20"/>
                              </w:rPr>
                              <w:t>Life expectancy less than 5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82A0" id="_x0000_s1028" type="#_x0000_t202" style="position:absolute;margin-left:-7.9pt;margin-top:14.9pt;width:121.5pt;height:42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">
                <v:textbox>
                  <w:txbxContent>
                    <w:p w14:paraId="1E17E7EC" w14:textId="77777777" w:rsidR="00A529D6" w:rsidRPr="00235331" w:rsidRDefault="00A529D6" w:rsidP="00A52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5331">
                        <w:rPr>
                          <w:sz w:val="20"/>
                          <w:szCs w:val="20"/>
                        </w:rPr>
                        <w:t>Life expectancy less than 5 years</w:t>
                      </w:r>
                    </w:p>
                  </w:txbxContent>
                </v:textbox>
              </v:shape>
            </w:pict>
          </mc:Fallback>
        </mc:AlternateContent>
      </w:r>
      <w:r w:rsidR="00533842" w:rsidRPr="00CB66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525FD8" wp14:editId="0C4F6A94">
                <wp:simplePos x="0" y="0"/>
                <wp:positionH relativeFrom="column">
                  <wp:posOffset>1805305</wp:posOffset>
                </wp:positionH>
                <wp:positionV relativeFrom="paragraph">
                  <wp:posOffset>170815</wp:posOffset>
                </wp:positionV>
                <wp:extent cx="1304925" cy="537845"/>
                <wp:effectExtent l="0" t="0" r="28575" b="146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D826" w14:textId="77777777" w:rsidR="00A529D6" w:rsidRPr="00235331" w:rsidRDefault="00A529D6" w:rsidP="00A529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5331">
                              <w:rPr>
                                <w:sz w:val="20"/>
                                <w:szCs w:val="20"/>
                              </w:rPr>
                              <w:t>Life expectancy more than 5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5FD8" id="_x0000_s1029" type="#_x0000_t202" style="position:absolute;margin-left:142.15pt;margin-top:13.45pt;width:102.75pt;height:42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">
                <v:textbox>
                  <w:txbxContent>
                    <w:p w14:paraId="14D3D826" w14:textId="77777777" w:rsidR="00A529D6" w:rsidRPr="00235331" w:rsidRDefault="00A529D6" w:rsidP="00A52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5331">
                        <w:rPr>
                          <w:sz w:val="20"/>
                          <w:szCs w:val="20"/>
                        </w:rPr>
                        <w:t>Life expectancy more than 5 years</w:t>
                      </w:r>
                    </w:p>
                  </w:txbxContent>
                </v:textbox>
              </v:shape>
            </w:pict>
          </mc:Fallback>
        </mc:AlternateContent>
      </w:r>
    </w:p>
    <w:p w14:paraId="131BACCF" w14:textId="23DC5A2F" w:rsidR="00A529D6" w:rsidRDefault="00A529D6" w:rsidP="00A529D6">
      <w:pPr>
        <w:rPr>
          <w:sz w:val="24"/>
          <w:szCs w:val="24"/>
        </w:rPr>
      </w:pPr>
    </w:p>
    <w:p w14:paraId="27C13F64" w14:textId="4335424A" w:rsidR="00A529D6" w:rsidRDefault="00235331" w:rsidP="00A529D6">
      <w:pPr>
        <w:rPr>
          <w:sz w:val="24"/>
          <w:szCs w:val="24"/>
        </w:rPr>
      </w:pPr>
      <w:r w:rsidRPr="00CB66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BF47B" wp14:editId="6FEA23BC">
                <wp:simplePos x="0" y="0"/>
                <wp:positionH relativeFrom="column">
                  <wp:posOffset>689610</wp:posOffset>
                </wp:positionH>
                <wp:positionV relativeFrom="paragraph">
                  <wp:posOffset>186690</wp:posOffset>
                </wp:positionV>
                <wp:extent cx="0" cy="263525"/>
                <wp:effectExtent l="76200" t="0" r="76200" b="412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CCFD" id="Straight Arrow Connector 31" o:spid="_x0000_s1026" type="#_x0000_t32" style="position:absolute;margin-left:54.3pt;margin-top:14.7pt;width:0;height:20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" strokecolor="#5b9bd5" strokeweight=".5pt">
                <v:stroke endarrow="open" joinstyle="miter"/>
              </v:shape>
            </w:pict>
          </mc:Fallback>
        </mc:AlternateContent>
      </w:r>
      <w:r w:rsidRPr="00CB66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E6A7C" wp14:editId="7E2F877C">
                <wp:simplePos x="0" y="0"/>
                <wp:positionH relativeFrom="column">
                  <wp:posOffset>2400300</wp:posOffset>
                </wp:positionH>
                <wp:positionV relativeFrom="paragraph">
                  <wp:posOffset>170180</wp:posOffset>
                </wp:positionV>
                <wp:extent cx="0" cy="263769"/>
                <wp:effectExtent l="76200" t="0" r="76200" b="412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37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0E82B" id="Straight Arrow Connector 32" o:spid="_x0000_s1026" type="#_x0000_t32" style="position:absolute;margin-left:189pt;margin-top:13.4pt;width:0;height:20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" strokecolor="#5b9bd5" strokeweight=".5pt">
                <v:stroke endarrow="open" joinstyle="miter"/>
              </v:shape>
            </w:pict>
          </mc:Fallback>
        </mc:AlternateContent>
      </w:r>
    </w:p>
    <w:p w14:paraId="3BA9B007" w14:textId="7E6E1DCA" w:rsidR="00A529D6" w:rsidRDefault="00D24B8F" w:rsidP="00A529D6">
      <w:pPr>
        <w:rPr>
          <w:sz w:val="24"/>
          <w:szCs w:val="24"/>
        </w:rPr>
      </w:pPr>
      <w:r w:rsidRPr="00CB66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63A5F" wp14:editId="75740624">
                <wp:simplePos x="0" y="0"/>
                <wp:positionH relativeFrom="column">
                  <wp:posOffset>3543300</wp:posOffset>
                </wp:positionH>
                <wp:positionV relativeFrom="paragraph">
                  <wp:posOffset>150495</wp:posOffset>
                </wp:positionV>
                <wp:extent cx="2514600" cy="1008000"/>
                <wp:effectExtent l="0" t="0" r="19050" b="2095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91277" w14:textId="77777777" w:rsidR="00A529D6" w:rsidRPr="00D24B8F" w:rsidRDefault="00A529D6" w:rsidP="00A529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4B8F">
                              <w:rPr>
                                <w:sz w:val="20"/>
                                <w:szCs w:val="20"/>
                              </w:rPr>
                              <w:t>Refer to haematology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63A5F" id="_x0000_s1030" type="#_x0000_t202" style="position:absolute;margin-left:279pt;margin-top:11.85pt;width:198pt;height:7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">
                <v:textbox>
                  <w:txbxContent>
                    <w:p w14:paraId="16291277" w14:textId="77777777" w:rsidR="00A529D6" w:rsidRPr="00D24B8F" w:rsidRDefault="00A529D6" w:rsidP="00A52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4B8F">
                        <w:rPr>
                          <w:sz w:val="20"/>
                          <w:szCs w:val="20"/>
                        </w:rPr>
                        <w:t>Refer to haematology</w:t>
                      </w:r>
                    </w:p>
                  </w:txbxContent>
                </v:textbox>
              </v:shape>
            </w:pict>
          </mc:Fallback>
        </mc:AlternateContent>
      </w:r>
      <w:r w:rsidRPr="00CB66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3CB7" wp14:editId="31CF36BF">
                <wp:simplePos x="0" y="0"/>
                <wp:positionH relativeFrom="column">
                  <wp:posOffset>1714500</wp:posOffset>
                </wp:positionH>
                <wp:positionV relativeFrom="paragraph">
                  <wp:posOffset>150495</wp:posOffset>
                </wp:positionV>
                <wp:extent cx="1400175" cy="1008000"/>
                <wp:effectExtent l="0" t="0" r="28575" b="209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64E1" w14:textId="77777777" w:rsidR="00A529D6" w:rsidRPr="00235331" w:rsidRDefault="00A529D6" w:rsidP="00A529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5331">
                              <w:rPr>
                                <w:sz w:val="20"/>
                                <w:szCs w:val="20"/>
                              </w:rPr>
                              <w:t>Monitor at 6 months, then annually if result is stable and if patient remains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3CB7" id="_x0000_s1031" type="#_x0000_t202" style="position:absolute;margin-left:135pt;margin-top:11.85pt;width:110.2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">
                <v:textbox>
                  <w:txbxContent>
                    <w:p w14:paraId="060F64E1" w14:textId="77777777" w:rsidR="00A529D6" w:rsidRPr="00235331" w:rsidRDefault="00A529D6" w:rsidP="00A52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5331">
                        <w:rPr>
                          <w:sz w:val="20"/>
                          <w:szCs w:val="20"/>
                        </w:rPr>
                        <w:t>Monitor at 6 months, then annually if result is stable and if patient remains well</w:t>
                      </w:r>
                    </w:p>
                  </w:txbxContent>
                </v:textbox>
              </v:shape>
            </w:pict>
          </mc:Fallback>
        </mc:AlternateContent>
      </w:r>
      <w:r w:rsidR="002B3C26" w:rsidRPr="00CB66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99E1CF" wp14:editId="76764202">
                <wp:simplePos x="0" y="0"/>
                <wp:positionH relativeFrom="column">
                  <wp:posOffset>-104775</wp:posOffset>
                </wp:positionH>
                <wp:positionV relativeFrom="paragraph">
                  <wp:posOffset>149860</wp:posOffset>
                </wp:positionV>
                <wp:extent cx="1485900" cy="1008000"/>
                <wp:effectExtent l="0" t="0" r="19050" b="209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62EE1" w14:textId="77777777" w:rsidR="00A529D6" w:rsidRPr="00235331" w:rsidRDefault="00A529D6" w:rsidP="00A529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5331">
                              <w:rPr>
                                <w:sz w:val="20"/>
                                <w:szCs w:val="20"/>
                              </w:rPr>
                              <w:t xml:space="preserve">No further follow up. </w:t>
                            </w:r>
                          </w:p>
                          <w:p w14:paraId="28314ACD" w14:textId="77777777" w:rsidR="00A529D6" w:rsidRPr="00235331" w:rsidRDefault="00A529D6" w:rsidP="00A529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5331">
                              <w:rPr>
                                <w:sz w:val="20"/>
                                <w:szCs w:val="20"/>
                              </w:rPr>
                              <w:t>Additional investigations only in case of symptoms suggestive of myeloma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9E1CF" id="_x0000_s1032" type="#_x0000_t202" style="position:absolute;margin-left:-8.25pt;margin-top:11.8pt;width:117pt;height:79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">
                <v:textbox>
                  <w:txbxContent>
                    <w:p w14:paraId="40B62EE1" w14:textId="77777777" w:rsidR="00A529D6" w:rsidRPr="00235331" w:rsidRDefault="00A529D6" w:rsidP="00A52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5331">
                        <w:rPr>
                          <w:sz w:val="20"/>
                          <w:szCs w:val="20"/>
                        </w:rPr>
                        <w:t xml:space="preserve">No further follow up. </w:t>
                      </w:r>
                    </w:p>
                    <w:p w14:paraId="28314ACD" w14:textId="77777777" w:rsidR="00A529D6" w:rsidRPr="00235331" w:rsidRDefault="00A529D6" w:rsidP="00A52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5331">
                        <w:rPr>
                          <w:sz w:val="20"/>
                          <w:szCs w:val="20"/>
                        </w:rPr>
                        <w:t>Additional investigations only in case of symptoms suggestive of myeloma</w:t>
                      </w:r>
                    </w:p>
                  </w:txbxContent>
                </v:textbox>
              </v:shape>
            </w:pict>
          </mc:Fallback>
        </mc:AlternateContent>
      </w:r>
    </w:p>
    <w:p w14:paraId="77D2C811" w14:textId="77A020B5" w:rsidR="00A529D6" w:rsidRDefault="00A529D6" w:rsidP="00A529D6">
      <w:pPr>
        <w:rPr>
          <w:sz w:val="24"/>
          <w:szCs w:val="24"/>
        </w:rPr>
      </w:pPr>
      <w:r w:rsidRPr="00CB66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F012711" wp14:editId="6A44AD8F">
                <wp:simplePos x="0" y="0"/>
                <wp:positionH relativeFrom="column">
                  <wp:posOffset>7605346</wp:posOffset>
                </wp:positionH>
                <wp:positionV relativeFrom="paragraph">
                  <wp:posOffset>180584</wp:posOffset>
                </wp:positionV>
                <wp:extent cx="972922" cy="864000"/>
                <wp:effectExtent l="0" t="0" r="17780" b="127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DCD61" w14:textId="77777777" w:rsidR="00A529D6" w:rsidRDefault="00A529D6" w:rsidP="00A529D6">
                            <w:pPr>
                              <w:jc w:val="center"/>
                            </w:pPr>
                            <w:r>
                              <w:t>Refer to secondary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2711" id="_x0000_s1033" type="#_x0000_t202" style="position:absolute;margin-left:598.85pt;margin-top:14.2pt;width:76.6pt;height:68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">
                <v:textbox>
                  <w:txbxContent>
                    <w:p w14:paraId="179DCD61" w14:textId="77777777" w:rsidR="00A529D6" w:rsidRDefault="00A529D6" w:rsidP="00A529D6">
                      <w:pPr>
                        <w:jc w:val="center"/>
                      </w:pPr>
                      <w:r>
                        <w:t>Refer to secondary care</w:t>
                      </w:r>
                    </w:p>
                  </w:txbxContent>
                </v:textbox>
              </v:shape>
            </w:pict>
          </mc:Fallback>
        </mc:AlternateContent>
      </w:r>
    </w:p>
    <w:p w14:paraId="6C5237F9" w14:textId="77777777" w:rsidR="00A529D6" w:rsidRDefault="00A529D6" w:rsidP="00A529D6"/>
    <w:p w14:paraId="293A38C7" w14:textId="77777777" w:rsidR="00A529D6" w:rsidRPr="008E05D1" w:rsidRDefault="00A529D6" w:rsidP="00A529D6"/>
    <w:p w14:paraId="56BC243E" w14:textId="77777777" w:rsidR="002B3C26" w:rsidRDefault="002B3C26" w:rsidP="00633D8D">
      <w:pPr>
        <w:rPr>
          <w:b/>
          <w:bCs/>
          <w:sz w:val="24"/>
          <w:szCs w:val="24"/>
        </w:rPr>
      </w:pPr>
      <w:bookmarkStart w:id="6" w:name="Lymphocytosis"/>
    </w:p>
    <w:p w14:paraId="403B77FF" w14:textId="28FB9627" w:rsidR="00633D8D" w:rsidRPr="004B11F4" w:rsidRDefault="00633D8D" w:rsidP="00633D8D">
      <w:pPr>
        <w:rPr>
          <w:b/>
          <w:bCs/>
          <w:sz w:val="28"/>
          <w:szCs w:val="28"/>
        </w:rPr>
      </w:pPr>
      <w:r w:rsidRPr="004B11F4">
        <w:rPr>
          <w:b/>
          <w:bCs/>
          <w:sz w:val="28"/>
          <w:szCs w:val="28"/>
        </w:rPr>
        <w:t>Lymphocytosis</w:t>
      </w:r>
    </w:p>
    <w:bookmarkEnd w:id="6"/>
    <w:p w14:paraId="44774F4C" w14:textId="77777777" w:rsidR="00633D8D" w:rsidRDefault="00633D8D" w:rsidP="007F3A4B">
      <w:pPr>
        <w:pStyle w:val="ListParagraph"/>
        <w:numPr>
          <w:ilvl w:val="0"/>
          <w:numId w:val="17"/>
        </w:numPr>
      </w:pPr>
      <w:r>
        <w:t>Persistent lymphocytosis &gt;10.0 (e.g. 6 months apart) – Routine referral to Haematology OP.</w:t>
      </w:r>
    </w:p>
    <w:p w14:paraId="5444FA16" w14:textId="431798DD" w:rsidR="00633D8D" w:rsidRDefault="00633D8D" w:rsidP="007F3A4B">
      <w:pPr>
        <w:pStyle w:val="ListParagraph"/>
        <w:numPr>
          <w:ilvl w:val="0"/>
          <w:numId w:val="17"/>
        </w:numPr>
      </w:pPr>
      <w:r>
        <w:t>Persistent lymphocytosis &lt;10.0 with additional features of either B symptoms, lymphadenopathy or hepatosplenomegaly (and viral causes excluded) – Urgent referral to Haematology</w:t>
      </w:r>
    </w:p>
    <w:p w14:paraId="7B502D80" w14:textId="77777777" w:rsidR="00633D8D" w:rsidRDefault="00633D8D" w:rsidP="00633D8D"/>
    <w:p w14:paraId="5E7EA328" w14:textId="77777777" w:rsidR="00633D8D" w:rsidRPr="00147D14" w:rsidRDefault="00633D8D" w:rsidP="00633D8D">
      <w:pPr>
        <w:rPr>
          <w:b/>
          <w:bCs/>
          <w:sz w:val="28"/>
          <w:szCs w:val="28"/>
        </w:rPr>
      </w:pPr>
      <w:bookmarkStart w:id="7" w:name="Lymphopenia"/>
      <w:r w:rsidRPr="00147D14">
        <w:rPr>
          <w:b/>
          <w:bCs/>
          <w:sz w:val="28"/>
          <w:szCs w:val="28"/>
        </w:rPr>
        <w:t>Lymphopenia</w:t>
      </w:r>
    </w:p>
    <w:bookmarkEnd w:id="7"/>
    <w:p w14:paraId="0DA274D4" w14:textId="77777777" w:rsidR="00633D8D" w:rsidRDefault="00633D8D" w:rsidP="00633D8D">
      <w:pPr>
        <w:pStyle w:val="ListParagraph"/>
        <w:numPr>
          <w:ilvl w:val="0"/>
          <w:numId w:val="4"/>
        </w:numPr>
      </w:pPr>
      <w:r>
        <w:t>Isolated lymphopenia in the absence of B symptoms (drenching night sweats, weight loss of &gt;10% over 6 months) or lymphadenopathy does not need require any further haematology investigation.</w:t>
      </w:r>
    </w:p>
    <w:p w14:paraId="2C68A1F6" w14:textId="77777777" w:rsidR="00633D8D" w:rsidRDefault="00633D8D" w:rsidP="00633D8D">
      <w:pPr>
        <w:pStyle w:val="ListParagraph"/>
        <w:numPr>
          <w:ilvl w:val="0"/>
          <w:numId w:val="4"/>
        </w:numPr>
      </w:pPr>
      <w:r>
        <w:t>It is usually of little clinical significance and therefore monitoring of the FBC is not required unless otherwise clinically indicated by the GP.</w:t>
      </w:r>
    </w:p>
    <w:p w14:paraId="451A3601" w14:textId="77777777" w:rsidR="00633D8D" w:rsidRDefault="00633D8D" w:rsidP="00633D8D">
      <w:pPr>
        <w:pStyle w:val="ListParagraph"/>
        <w:numPr>
          <w:ilvl w:val="0"/>
          <w:numId w:val="4"/>
        </w:numPr>
      </w:pPr>
      <w:r>
        <w:t xml:space="preserve">Lymphopenia can be associated with incesasing age, bacterial infection, autoimmune disease, and certain medications such as immunosuppressants, alcohol excess and HIV infection. </w:t>
      </w:r>
    </w:p>
    <w:p w14:paraId="1996A3D3" w14:textId="77777777" w:rsidR="00633D8D" w:rsidRDefault="00633D8D" w:rsidP="00633D8D">
      <w:pPr>
        <w:pStyle w:val="ListParagraph"/>
        <w:numPr>
          <w:ilvl w:val="0"/>
          <w:numId w:val="4"/>
        </w:numPr>
      </w:pPr>
      <w:r>
        <w:t xml:space="preserve">A HIV test should always be considered. </w:t>
      </w:r>
    </w:p>
    <w:p w14:paraId="6BAE4601" w14:textId="77777777" w:rsidR="0003716B" w:rsidRDefault="0003716B" w:rsidP="00B85F69">
      <w:pPr>
        <w:rPr>
          <w:b/>
          <w:bCs/>
          <w:sz w:val="24"/>
          <w:szCs w:val="24"/>
        </w:rPr>
      </w:pPr>
    </w:p>
    <w:p w14:paraId="32350833" w14:textId="77777777" w:rsidR="007B216B" w:rsidRDefault="007B216B" w:rsidP="00B85F69">
      <w:pPr>
        <w:rPr>
          <w:b/>
          <w:bCs/>
          <w:sz w:val="24"/>
          <w:szCs w:val="24"/>
        </w:rPr>
      </w:pPr>
    </w:p>
    <w:p w14:paraId="07EE48C3" w14:textId="77777777" w:rsidR="007B216B" w:rsidRDefault="007B216B" w:rsidP="00B85F69">
      <w:pPr>
        <w:rPr>
          <w:b/>
          <w:bCs/>
          <w:sz w:val="24"/>
          <w:szCs w:val="24"/>
        </w:rPr>
      </w:pPr>
    </w:p>
    <w:p w14:paraId="10664FEB" w14:textId="77777777" w:rsidR="007B216B" w:rsidRDefault="007B216B" w:rsidP="00B85F69">
      <w:pPr>
        <w:rPr>
          <w:b/>
          <w:bCs/>
          <w:sz w:val="24"/>
          <w:szCs w:val="24"/>
        </w:rPr>
      </w:pPr>
    </w:p>
    <w:p w14:paraId="740C2793" w14:textId="77777777" w:rsidR="007B216B" w:rsidRDefault="007B216B" w:rsidP="00B85F69">
      <w:pPr>
        <w:rPr>
          <w:b/>
          <w:bCs/>
          <w:sz w:val="24"/>
          <w:szCs w:val="24"/>
        </w:rPr>
      </w:pPr>
    </w:p>
    <w:p w14:paraId="0BED0009" w14:textId="660868ED" w:rsidR="00B85F69" w:rsidRPr="00147D14" w:rsidRDefault="00B85F69" w:rsidP="00B85F69">
      <w:pPr>
        <w:rPr>
          <w:b/>
          <w:bCs/>
          <w:sz w:val="28"/>
          <w:szCs w:val="28"/>
        </w:rPr>
      </w:pPr>
      <w:r w:rsidRPr="00147D14">
        <w:rPr>
          <w:b/>
          <w:bCs/>
          <w:sz w:val="28"/>
          <w:szCs w:val="28"/>
        </w:rPr>
        <w:lastRenderedPageBreak/>
        <w:t>Macrocytosis</w:t>
      </w:r>
    </w:p>
    <w:bookmarkEnd w:id="5"/>
    <w:p w14:paraId="44B1B425" w14:textId="77777777" w:rsidR="009D7AE7" w:rsidRPr="009D7AE7" w:rsidRDefault="00B85F69" w:rsidP="009D7AE7">
      <w:pPr>
        <w:pStyle w:val="NoSpacing"/>
        <w:rPr>
          <w:b/>
          <w:bCs/>
        </w:rPr>
      </w:pPr>
      <w:r w:rsidRPr="009D7AE7">
        <w:rPr>
          <w:b/>
          <w:bCs/>
        </w:rPr>
        <w:t>Common causes</w:t>
      </w:r>
      <w:r w:rsidR="00DE6AE6" w:rsidRPr="009D7AE7">
        <w:rPr>
          <w:b/>
          <w:bCs/>
        </w:rPr>
        <w:t>:</w:t>
      </w:r>
      <w:r w:rsidRPr="009D7AE7">
        <w:rPr>
          <w:b/>
          <w:bCs/>
        </w:rPr>
        <w:t xml:space="preserve"> </w:t>
      </w:r>
    </w:p>
    <w:p w14:paraId="5B68A9D3" w14:textId="7232869D" w:rsidR="00B85F69" w:rsidRDefault="00B85F69" w:rsidP="009D7AE7">
      <w:pPr>
        <w:pStyle w:val="NoSpacing"/>
      </w:pPr>
      <w:r w:rsidRPr="00EB73A1">
        <w:t>Haematinic deficiency</w:t>
      </w:r>
      <w:r>
        <w:t>, a</w:t>
      </w:r>
      <w:r w:rsidRPr="00EB73A1">
        <w:t>lcohol excess</w:t>
      </w:r>
      <w:r>
        <w:t>, m</w:t>
      </w:r>
      <w:r w:rsidRPr="00EB73A1">
        <w:t>edication</w:t>
      </w:r>
      <w:r>
        <w:t>, m</w:t>
      </w:r>
      <w:r w:rsidRPr="00EB73A1">
        <w:t>yelodysplasia</w:t>
      </w:r>
      <w:r>
        <w:t>, pregnancy, haemolysis, liver disease, m</w:t>
      </w:r>
      <w:r w:rsidRPr="00EB73A1">
        <w:t>yeloma</w:t>
      </w:r>
      <w:r>
        <w:t xml:space="preserve"> and</w:t>
      </w:r>
      <w:r w:rsidRPr="00EB73A1">
        <w:t xml:space="preserve"> </w:t>
      </w:r>
      <w:r>
        <w:t>hypothyroidism.</w:t>
      </w:r>
    </w:p>
    <w:p w14:paraId="17631851" w14:textId="77777777" w:rsidR="009D7AE7" w:rsidRDefault="009D7AE7" w:rsidP="009D7AE7">
      <w:pPr>
        <w:pStyle w:val="NoSpacing"/>
      </w:pPr>
    </w:p>
    <w:p w14:paraId="5947E91B" w14:textId="77777777" w:rsidR="00B85F69" w:rsidRPr="009D7AE7" w:rsidRDefault="00B85F69" w:rsidP="009D7AE7">
      <w:pPr>
        <w:pStyle w:val="NoSpacing"/>
        <w:rPr>
          <w:b/>
          <w:bCs/>
        </w:rPr>
      </w:pPr>
      <w:r w:rsidRPr="009D7AE7">
        <w:rPr>
          <w:b/>
          <w:bCs/>
        </w:rPr>
        <w:t>Investigations:</w:t>
      </w:r>
    </w:p>
    <w:p w14:paraId="36C68867" w14:textId="4FA8A8D3" w:rsidR="00B85F69" w:rsidRDefault="00B85F69" w:rsidP="009D7AE7">
      <w:pPr>
        <w:pStyle w:val="NoSpacing"/>
      </w:pPr>
      <w:r>
        <w:t>Blood film, LFT’s, thyroid function, B12/folate, haemolysis screen (LDH, reticulocytes, and direct antiglobulin test), protein electrophoresis.</w:t>
      </w:r>
    </w:p>
    <w:p w14:paraId="146198D9" w14:textId="77777777" w:rsidR="009D7AE7" w:rsidRDefault="009D7AE7" w:rsidP="009D7AE7">
      <w:pPr>
        <w:pStyle w:val="NoSpacing"/>
      </w:pPr>
    </w:p>
    <w:p w14:paraId="40BB72DE" w14:textId="77777777" w:rsidR="009D7AE7" w:rsidRPr="009D7AE7" w:rsidRDefault="00B85F69" w:rsidP="00B85F69">
      <w:pPr>
        <w:rPr>
          <w:b/>
          <w:bCs/>
        </w:rPr>
      </w:pPr>
      <w:r w:rsidRPr="009D7AE7">
        <w:rPr>
          <w:b/>
          <w:bCs/>
        </w:rPr>
        <w:t>Refer to haematology if</w:t>
      </w:r>
      <w:r w:rsidR="009D7AE7" w:rsidRPr="009D7AE7">
        <w:rPr>
          <w:b/>
          <w:bCs/>
        </w:rPr>
        <w:t>:</w:t>
      </w:r>
      <w:r w:rsidRPr="009D7AE7">
        <w:rPr>
          <w:b/>
          <w:bCs/>
        </w:rPr>
        <w:t xml:space="preserve"> </w:t>
      </w:r>
    </w:p>
    <w:p w14:paraId="796B97DA" w14:textId="25A5E445" w:rsidR="00B85F69" w:rsidRDefault="009D7AE7" w:rsidP="00B85F69">
      <w:r>
        <w:t>A</w:t>
      </w:r>
      <w:r w:rsidR="00B85F69">
        <w:t>bnormalities in the haemolysis screen, paraproteinaemia &gt;15g/L or dysplasia reported on blood film.</w:t>
      </w:r>
    </w:p>
    <w:p w14:paraId="3FBB4DC6" w14:textId="77777777" w:rsidR="004F0156" w:rsidRDefault="004F0156" w:rsidP="004F0156">
      <w:pPr>
        <w:pStyle w:val="ListParagraph"/>
      </w:pPr>
    </w:p>
    <w:p w14:paraId="68D548EC" w14:textId="77777777" w:rsidR="00494F6E" w:rsidRPr="00147D14" w:rsidRDefault="00494F6E" w:rsidP="00494F6E">
      <w:pPr>
        <w:rPr>
          <w:b/>
          <w:bCs/>
          <w:sz w:val="28"/>
          <w:szCs w:val="28"/>
        </w:rPr>
      </w:pPr>
      <w:bookmarkStart w:id="8" w:name="Polycythaemia"/>
      <w:r w:rsidRPr="00147D14">
        <w:rPr>
          <w:b/>
          <w:bCs/>
          <w:sz w:val="28"/>
          <w:szCs w:val="28"/>
        </w:rPr>
        <w:t>Polycythaemia</w:t>
      </w:r>
    </w:p>
    <w:bookmarkEnd w:id="8"/>
    <w:p w14:paraId="25DAE91F" w14:textId="77777777" w:rsidR="00494F6E" w:rsidRPr="00E45802" w:rsidRDefault="00494F6E" w:rsidP="00E45802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Repeat to confirm results in 2 weeks </w:t>
      </w:r>
    </w:p>
    <w:p w14:paraId="5A2E1736" w14:textId="77777777" w:rsidR="00494F6E" w:rsidRPr="00E45802" w:rsidRDefault="00494F6E" w:rsidP="00E45802">
      <w:pPr>
        <w:pStyle w:val="ListParagraph"/>
        <w:numPr>
          <w:ilvl w:val="0"/>
          <w:numId w:val="13"/>
        </w:numPr>
        <w:rPr>
          <w:u w:val="single"/>
        </w:rPr>
      </w:pPr>
      <w:r>
        <w:t>Look for secondary causes (Chronic lung disease, obstructive sleep apnoea, cyanotic heart disease, heavy smoker, diuretics, uncontrolled diabetes, excess alcohol intake, testosterone replacement, anabolic steroid use / body building supplements).</w:t>
      </w:r>
    </w:p>
    <w:p w14:paraId="353D615D" w14:textId="77777777" w:rsidR="00494F6E" w:rsidRDefault="00494F6E" w:rsidP="00E45802">
      <w:pPr>
        <w:pStyle w:val="ListParagraph"/>
        <w:numPr>
          <w:ilvl w:val="0"/>
          <w:numId w:val="13"/>
        </w:numPr>
      </w:pPr>
      <w:r>
        <w:t>If haematocrit is persistently elevated above upper limit of normal with no secondary causes - Discuss with Haematology</w:t>
      </w:r>
    </w:p>
    <w:p w14:paraId="6CEE391A" w14:textId="77777777" w:rsidR="00462A71" w:rsidRDefault="00462A71" w:rsidP="00C05394">
      <w:pPr>
        <w:pStyle w:val="ListParagraph"/>
      </w:pPr>
    </w:p>
    <w:p w14:paraId="0A117D0E" w14:textId="77777777" w:rsidR="00C05394" w:rsidRPr="00147D14" w:rsidRDefault="00C05394" w:rsidP="00462A71">
      <w:pPr>
        <w:rPr>
          <w:b/>
          <w:bCs/>
          <w:sz w:val="28"/>
          <w:szCs w:val="28"/>
        </w:rPr>
      </w:pPr>
      <w:bookmarkStart w:id="9" w:name="Neutrophilia"/>
      <w:r w:rsidRPr="00147D14">
        <w:rPr>
          <w:b/>
          <w:bCs/>
          <w:sz w:val="28"/>
          <w:szCs w:val="28"/>
        </w:rPr>
        <w:t>N</w:t>
      </w:r>
      <w:r w:rsidR="003850BB" w:rsidRPr="00147D14">
        <w:rPr>
          <w:b/>
          <w:bCs/>
          <w:sz w:val="28"/>
          <w:szCs w:val="28"/>
        </w:rPr>
        <w:t>eutrophilia</w:t>
      </w:r>
    </w:p>
    <w:bookmarkEnd w:id="9"/>
    <w:p w14:paraId="36082466" w14:textId="77777777" w:rsidR="003850BB" w:rsidRDefault="00703D32" w:rsidP="008D6ED4">
      <w:pPr>
        <w:pStyle w:val="ListParagraph"/>
        <w:numPr>
          <w:ilvl w:val="0"/>
          <w:numId w:val="7"/>
        </w:numPr>
        <w:ind w:left="360"/>
      </w:pPr>
      <w:r>
        <w:t xml:space="preserve">Usually reactive </w:t>
      </w:r>
      <w:r w:rsidR="003850BB">
        <w:t>to</w:t>
      </w:r>
      <w:r>
        <w:t xml:space="preserve"> infection / inflammation /</w:t>
      </w:r>
      <w:r w:rsidR="003850BB">
        <w:t xml:space="preserve"> </w:t>
      </w:r>
      <w:r>
        <w:t xml:space="preserve">known </w:t>
      </w:r>
      <w:r w:rsidR="003850BB">
        <w:t>non-</w:t>
      </w:r>
      <w:r w:rsidR="008B6A90">
        <w:t xml:space="preserve">haematological </w:t>
      </w:r>
      <w:r>
        <w:t>malignancy / post</w:t>
      </w:r>
      <w:r w:rsidR="008B6A90">
        <w:t>-</w:t>
      </w:r>
      <w:r>
        <w:t xml:space="preserve"> operative state.  </w:t>
      </w:r>
    </w:p>
    <w:p w14:paraId="716930BF" w14:textId="77777777" w:rsidR="00462A71" w:rsidRDefault="003850BB" w:rsidP="008D6ED4">
      <w:pPr>
        <w:pStyle w:val="ListParagraph"/>
        <w:numPr>
          <w:ilvl w:val="0"/>
          <w:numId w:val="7"/>
        </w:numPr>
        <w:ind w:left="360"/>
      </w:pPr>
      <w:r>
        <w:t>Smoking, corticosteroid use, obesity and</w:t>
      </w:r>
      <w:r w:rsidR="008B6A90">
        <w:t xml:space="preserve"> pregnancy can cause mild neutrophilia</w:t>
      </w:r>
      <w:r>
        <w:t>.</w:t>
      </w:r>
    </w:p>
    <w:p w14:paraId="6B800B77" w14:textId="77777777" w:rsidR="00A03E84" w:rsidRDefault="00A03E84" w:rsidP="008D6ED4">
      <w:pPr>
        <w:pStyle w:val="ListParagraph"/>
        <w:numPr>
          <w:ilvl w:val="0"/>
          <w:numId w:val="7"/>
        </w:numPr>
        <w:ind w:left="360"/>
      </w:pPr>
      <w:r>
        <w:t>I</w:t>
      </w:r>
      <w:r w:rsidR="008B6A90">
        <w:t>f associated with lymphocytosis</w:t>
      </w:r>
      <w:r>
        <w:t>, viral infection is a common cause.</w:t>
      </w:r>
    </w:p>
    <w:p w14:paraId="2A44CCA4" w14:textId="77777777" w:rsidR="003850BB" w:rsidRDefault="003850BB" w:rsidP="008D6ED4">
      <w:pPr>
        <w:pStyle w:val="ListParagraph"/>
        <w:numPr>
          <w:ilvl w:val="0"/>
          <w:numId w:val="7"/>
        </w:numPr>
        <w:ind w:left="360"/>
      </w:pPr>
      <w:r>
        <w:t>Requires;</w:t>
      </w:r>
    </w:p>
    <w:p w14:paraId="2C6B8586" w14:textId="77777777" w:rsidR="003850BB" w:rsidRDefault="003850BB" w:rsidP="008D6ED4">
      <w:pPr>
        <w:pStyle w:val="ListParagraph"/>
        <w:numPr>
          <w:ilvl w:val="1"/>
          <w:numId w:val="7"/>
        </w:numPr>
        <w:ind w:left="1080"/>
      </w:pPr>
      <w:r>
        <w:t>History and examination</w:t>
      </w:r>
    </w:p>
    <w:p w14:paraId="33EE2645" w14:textId="77777777" w:rsidR="003850BB" w:rsidRDefault="003850BB" w:rsidP="008D6ED4">
      <w:pPr>
        <w:pStyle w:val="ListParagraph"/>
        <w:numPr>
          <w:ilvl w:val="1"/>
          <w:numId w:val="7"/>
        </w:numPr>
        <w:ind w:left="1080"/>
      </w:pPr>
      <w:r>
        <w:t xml:space="preserve">Medication review </w:t>
      </w:r>
    </w:p>
    <w:p w14:paraId="523EEE92" w14:textId="77777777" w:rsidR="00703D32" w:rsidRDefault="00462A71" w:rsidP="008D6ED4">
      <w:pPr>
        <w:pStyle w:val="ListParagraph"/>
        <w:numPr>
          <w:ilvl w:val="1"/>
          <w:numId w:val="7"/>
        </w:numPr>
        <w:ind w:left="1080"/>
      </w:pPr>
      <w:r>
        <w:t>CRP</w:t>
      </w:r>
    </w:p>
    <w:p w14:paraId="53533825" w14:textId="77777777" w:rsidR="00703D32" w:rsidRDefault="00703D32" w:rsidP="008D6ED4">
      <w:pPr>
        <w:pStyle w:val="ListParagraph"/>
        <w:numPr>
          <w:ilvl w:val="1"/>
          <w:numId w:val="7"/>
        </w:numPr>
        <w:ind w:left="1080"/>
      </w:pPr>
      <w:r>
        <w:t xml:space="preserve">Suggest repeat when clinical condition improves or </w:t>
      </w:r>
      <w:r w:rsidR="003850BB">
        <w:t>again in 4- 6 weeks</w:t>
      </w:r>
    </w:p>
    <w:p w14:paraId="3A9DCCDE" w14:textId="77777777" w:rsidR="003850BB" w:rsidRDefault="003850BB" w:rsidP="008D6ED4">
      <w:pPr>
        <w:pStyle w:val="ListParagraph"/>
        <w:ind w:left="1080"/>
      </w:pPr>
    </w:p>
    <w:p w14:paraId="52C929ED" w14:textId="77777777" w:rsidR="008641AD" w:rsidRDefault="008B6A90" w:rsidP="008D6ED4">
      <w:pPr>
        <w:pStyle w:val="ListParagraph"/>
        <w:numPr>
          <w:ilvl w:val="0"/>
          <w:numId w:val="7"/>
        </w:numPr>
        <w:ind w:left="360"/>
      </w:pPr>
      <w:r>
        <w:t>I</w:t>
      </w:r>
      <w:r w:rsidR="008641AD">
        <w:t>f neutrophilia persists with normal inflammatory markers</w:t>
      </w:r>
      <w:r w:rsidR="003850BB">
        <w:t xml:space="preserve"> and no clear cause as above </w:t>
      </w:r>
      <w:r w:rsidR="008641AD">
        <w:t>- Discuss with Haematology</w:t>
      </w:r>
    </w:p>
    <w:p w14:paraId="0A5A5BAB" w14:textId="77777777" w:rsidR="008641AD" w:rsidRDefault="008641AD" w:rsidP="00C05394">
      <w:pPr>
        <w:pStyle w:val="ListParagraph"/>
      </w:pPr>
    </w:p>
    <w:p w14:paraId="477B582F" w14:textId="77777777" w:rsidR="008641AD" w:rsidRDefault="008641AD" w:rsidP="00C05394">
      <w:pPr>
        <w:pStyle w:val="ListParagraph"/>
      </w:pPr>
    </w:p>
    <w:p w14:paraId="654EA05F" w14:textId="77777777" w:rsidR="007B216B" w:rsidRDefault="007B216B" w:rsidP="00C05394">
      <w:pPr>
        <w:pStyle w:val="ListParagraph"/>
      </w:pPr>
    </w:p>
    <w:p w14:paraId="716CBCB7" w14:textId="77777777" w:rsidR="007B216B" w:rsidRDefault="007B216B" w:rsidP="00C05394">
      <w:pPr>
        <w:pStyle w:val="ListParagraph"/>
      </w:pPr>
    </w:p>
    <w:p w14:paraId="5CE4542B" w14:textId="77777777" w:rsidR="007B216B" w:rsidRDefault="007B216B" w:rsidP="00C05394">
      <w:pPr>
        <w:pStyle w:val="ListParagraph"/>
      </w:pPr>
    </w:p>
    <w:p w14:paraId="4C806A14" w14:textId="77777777" w:rsidR="007B216B" w:rsidRDefault="007B216B" w:rsidP="00C05394">
      <w:pPr>
        <w:pStyle w:val="ListParagraph"/>
      </w:pPr>
    </w:p>
    <w:p w14:paraId="5B06CD16" w14:textId="77777777" w:rsidR="007B216B" w:rsidRDefault="007B216B" w:rsidP="00C05394">
      <w:pPr>
        <w:pStyle w:val="ListParagraph"/>
      </w:pPr>
    </w:p>
    <w:p w14:paraId="291FC905" w14:textId="77777777" w:rsidR="007B216B" w:rsidRDefault="007B216B" w:rsidP="00C05394">
      <w:pPr>
        <w:pStyle w:val="ListParagraph"/>
      </w:pPr>
    </w:p>
    <w:p w14:paraId="283E11B6" w14:textId="77777777" w:rsidR="007B216B" w:rsidRDefault="007B216B" w:rsidP="00C05394">
      <w:pPr>
        <w:pStyle w:val="ListParagraph"/>
      </w:pPr>
    </w:p>
    <w:p w14:paraId="61F2CB3A" w14:textId="77777777" w:rsidR="008641AD" w:rsidRPr="00147D14" w:rsidRDefault="008641AD" w:rsidP="003850BB">
      <w:pPr>
        <w:rPr>
          <w:b/>
          <w:bCs/>
          <w:sz w:val="28"/>
          <w:szCs w:val="28"/>
        </w:rPr>
      </w:pPr>
      <w:bookmarkStart w:id="10" w:name="Neutropenia"/>
      <w:r w:rsidRPr="00147D14">
        <w:rPr>
          <w:b/>
          <w:bCs/>
          <w:sz w:val="28"/>
          <w:szCs w:val="28"/>
        </w:rPr>
        <w:lastRenderedPageBreak/>
        <w:t>N</w:t>
      </w:r>
      <w:r w:rsidR="003850BB" w:rsidRPr="00147D14">
        <w:rPr>
          <w:b/>
          <w:bCs/>
          <w:sz w:val="28"/>
          <w:szCs w:val="28"/>
        </w:rPr>
        <w:t>eutropenia</w:t>
      </w:r>
    </w:p>
    <w:bookmarkEnd w:id="10"/>
    <w:p w14:paraId="46492467" w14:textId="77777777" w:rsidR="00525664" w:rsidRDefault="00525664" w:rsidP="007D6E88">
      <w:pPr>
        <w:pStyle w:val="ListParagraph"/>
        <w:numPr>
          <w:ilvl w:val="0"/>
          <w:numId w:val="2"/>
        </w:numPr>
      </w:pPr>
      <w:r>
        <w:t>Common causes for neutropenia include:</w:t>
      </w:r>
    </w:p>
    <w:p w14:paraId="7F066C50" w14:textId="09F8E822" w:rsidR="00525664" w:rsidRPr="00525664" w:rsidRDefault="00525664" w:rsidP="00525664">
      <w:pPr>
        <w:pStyle w:val="ListParagraph"/>
        <w:numPr>
          <w:ilvl w:val="1"/>
          <w:numId w:val="2"/>
        </w:numPr>
        <w:rPr>
          <w:u w:val="single"/>
        </w:rPr>
      </w:pPr>
      <w:r>
        <w:t>Infection (particularly viral), medication, racial variants (black or middle eastern), autoimmune, haematinic deficiency, thyroid disease and bone marrow conditions</w:t>
      </w:r>
    </w:p>
    <w:p w14:paraId="347644A8" w14:textId="77777777" w:rsidR="00525664" w:rsidRPr="00525664" w:rsidRDefault="00525664" w:rsidP="00525664">
      <w:pPr>
        <w:pStyle w:val="ListParagraph"/>
        <w:ind w:left="1440"/>
        <w:rPr>
          <w:u w:val="single"/>
        </w:rPr>
      </w:pPr>
    </w:p>
    <w:p w14:paraId="3834A3CB" w14:textId="77777777" w:rsidR="003850BB" w:rsidRDefault="00A03E84" w:rsidP="007D6E88">
      <w:pPr>
        <w:pStyle w:val="ListParagraph"/>
        <w:numPr>
          <w:ilvl w:val="0"/>
          <w:numId w:val="2"/>
        </w:numPr>
      </w:pPr>
      <w:r>
        <w:t>P</w:t>
      </w:r>
      <w:r w:rsidR="003850BB">
        <w:t>ersistent n</w:t>
      </w:r>
      <w:r>
        <w:t>eutropen</w:t>
      </w:r>
      <w:r w:rsidR="008B6A90">
        <w:t xml:space="preserve">ia with </w:t>
      </w:r>
      <w:r w:rsidR="003850BB">
        <w:t>either anaemia</w:t>
      </w:r>
      <w:r>
        <w:t xml:space="preserve">, </w:t>
      </w:r>
      <w:r w:rsidR="008B6A90">
        <w:t>thrombocytopenia, lymphocytosis</w:t>
      </w:r>
      <w:r w:rsidR="003850BB">
        <w:t>, monocytosis or other blood count abnormalities:</w:t>
      </w:r>
    </w:p>
    <w:p w14:paraId="567C7684" w14:textId="77777777" w:rsidR="00A03E84" w:rsidRDefault="003850BB" w:rsidP="003850BB">
      <w:pPr>
        <w:pStyle w:val="ListParagraph"/>
        <w:numPr>
          <w:ilvl w:val="1"/>
          <w:numId w:val="2"/>
        </w:numPr>
      </w:pPr>
      <w:r>
        <w:t>R</w:t>
      </w:r>
      <w:r w:rsidR="006746D2">
        <w:t xml:space="preserve">eview </w:t>
      </w:r>
      <w:r>
        <w:t>history and medication</w:t>
      </w:r>
      <w:r w:rsidR="006746D2">
        <w:t xml:space="preserve"> and</w:t>
      </w:r>
      <w:r>
        <w:t xml:space="preserve"> then</w:t>
      </w:r>
      <w:r w:rsidR="006746D2">
        <w:t xml:space="preserve"> </w:t>
      </w:r>
      <w:r w:rsidR="00A03E84">
        <w:t>discuss with Haematology</w:t>
      </w:r>
    </w:p>
    <w:p w14:paraId="7FDB82A3" w14:textId="77777777" w:rsidR="008B6A90" w:rsidRPr="00A03E84" w:rsidRDefault="008B6A90" w:rsidP="008B6A90">
      <w:pPr>
        <w:pStyle w:val="ListParagraph"/>
        <w:rPr>
          <w:u w:val="single"/>
        </w:rPr>
      </w:pPr>
    </w:p>
    <w:p w14:paraId="232F9B81" w14:textId="77777777" w:rsidR="003850BB" w:rsidRPr="003850BB" w:rsidRDefault="00A03E84" w:rsidP="003850BB">
      <w:pPr>
        <w:pStyle w:val="ListParagraph"/>
        <w:numPr>
          <w:ilvl w:val="0"/>
          <w:numId w:val="2"/>
        </w:numPr>
        <w:rPr>
          <w:u w:val="single"/>
        </w:rPr>
      </w:pPr>
      <w:r>
        <w:t>Isolated neutropenia</w:t>
      </w:r>
    </w:p>
    <w:p w14:paraId="746D7A1A" w14:textId="77777777" w:rsidR="008B6A90" w:rsidRPr="003850BB" w:rsidRDefault="003C5564" w:rsidP="003850BB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If </w:t>
      </w:r>
      <w:r w:rsidR="006746D2">
        <w:t>&lt;1.0</w:t>
      </w:r>
      <w:r w:rsidR="008B6A90">
        <w:t xml:space="preserve"> on 2 occasions one week apart and</w:t>
      </w:r>
      <w:r w:rsidR="006746D2">
        <w:t xml:space="preserve"> and no </w:t>
      </w:r>
      <w:r w:rsidR="007116E6">
        <w:t>known cause (</w:t>
      </w:r>
      <w:r w:rsidR="003850BB">
        <w:t>such as acute infection or medication) with</w:t>
      </w:r>
      <w:r w:rsidR="008B6A90">
        <w:t xml:space="preserve"> no suspicious features on the blood film</w:t>
      </w:r>
      <w:r w:rsidR="006746D2">
        <w:t xml:space="preserve"> – </w:t>
      </w:r>
      <w:r w:rsidR="008B6A90">
        <w:t xml:space="preserve">Discuss urgently with </w:t>
      </w:r>
      <w:r w:rsidR="006746D2">
        <w:t>Haematology</w:t>
      </w:r>
    </w:p>
    <w:p w14:paraId="26F23A46" w14:textId="77777777" w:rsidR="006746D2" w:rsidRPr="00525664" w:rsidRDefault="006746D2" w:rsidP="003C5564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If </w:t>
      </w:r>
      <w:r w:rsidR="003850BB">
        <w:t xml:space="preserve">mild i.e. </w:t>
      </w:r>
      <w:r>
        <w:t>1.0-</w:t>
      </w:r>
      <w:r w:rsidR="003850BB">
        <w:t>1.8</w:t>
      </w:r>
      <w:r>
        <w:t xml:space="preserve"> and persistent (over 3 months) but stable</w:t>
      </w:r>
      <w:r w:rsidR="00525664">
        <w:t>;</w:t>
      </w:r>
      <w:r>
        <w:t xml:space="preserve"> </w:t>
      </w:r>
      <w:r w:rsidR="003850BB">
        <w:t>this is unlikely to be associated with significant risk of infection - d</w:t>
      </w:r>
      <w:r>
        <w:t>iscuss with Haematology</w:t>
      </w:r>
      <w:r w:rsidR="003850BB">
        <w:t xml:space="preserve"> routinely</w:t>
      </w:r>
    </w:p>
    <w:p w14:paraId="35B2489A" w14:textId="77777777" w:rsidR="00525664" w:rsidRPr="003850BB" w:rsidRDefault="00525664" w:rsidP="003C5564">
      <w:pPr>
        <w:pStyle w:val="ListParagraph"/>
        <w:numPr>
          <w:ilvl w:val="1"/>
          <w:numId w:val="2"/>
        </w:numPr>
        <w:rPr>
          <w:u w:val="single"/>
        </w:rPr>
      </w:pPr>
      <w:r>
        <w:t>Consider HIV testing</w:t>
      </w:r>
    </w:p>
    <w:p w14:paraId="13980621" w14:textId="77777777" w:rsidR="006746D2" w:rsidRDefault="006746D2" w:rsidP="003C5564">
      <w:pPr>
        <w:pStyle w:val="ListParagraph"/>
      </w:pPr>
    </w:p>
    <w:p w14:paraId="280151A3" w14:textId="77777777" w:rsidR="00075445" w:rsidRPr="00147D14" w:rsidRDefault="00075445" w:rsidP="00075445">
      <w:pPr>
        <w:rPr>
          <w:b/>
          <w:bCs/>
          <w:sz w:val="28"/>
          <w:szCs w:val="28"/>
        </w:rPr>
      </w:pPr>
      <w:bookmarkStart w:id="11" w:name="Thrombocytosis"/>
      <w:r w:rsidRPr="00147D14">
        <w:rPr>
          <w:b/>
          <w:bCs/>
          <w:sz w:val="28"/>
          <w:szCs w:val="28"/>
        </w:rPr>
        <w:t>Thrombocytosis</w:t>
      </w:r>
    </w:p>
    <w:bookmarkEnd w:id="11"/>
    <w:p w14:paraId="50BFD158" w14:textId="77777777" w:rsidR="00075445" w:rsidRPr="004F0156" w:rsidRDefault="00075445" w:rsidP="00075445">
      <w:pPr>
        <w:pStyle w:val="ListParagraph"/>
        <w:numPr>
          <w:ilvl w:val="0"/>
          <w:numId w:val="5"/>
        </w:numPr>
      </w:pPr>
      <w:r w:rsidRPr="004F0156">
        <w:t>An acutely raised platelet count is commonly reactive to either infection or bleeding ng and can be observed and followed up with a re</w:t>
      </w:r>
      <w:r>
        <w:t>peat</w:t>
      </w:r>
      <w:r w:rsidRPr="004F0156">
        <w:t xml:space="preserve"> FBC.</w:t>
      </w:r>
    </w:p>
    <w:p w14:paraId="69CEFC0D" w14:textId="77777777" w:rsidR="00075445" w:rsidRPr="004F0156" w:rsidRDefault="00075445" w:rsidP="00075445">
      <w:pPr>
        <w:pStyle w:val="ListParagraph"/>
        <w:numPr>
          <w:ilvl w:val="0"/>
          <w:numId w:val="5"/>
        </w:numPr>
        <w:rPr>
          <w:u w:val="single"/>
        </w:rPr>
      </w:pPr>
      <w:r>
        <w:t>A persistent thrombocytosis &gt;450 more than 6 weeks apart with normal inflammatory markers (ESR/CRP) and a normal ferritin – Refer to Haematology routinely</w:t>
      </w:r>
    </w:p>
    <w:p w14:paraId="0C3D1CC0" w14:textId="77777777" w:rsidR="00075445" w:rsidRDefault="00075445" w:rsidP="00075445"/>
    <w:p w14:paraId="1F84B3D7" w14:textId="77777777" w:rsidR="00075445" w:rsidRPr="00147D14" w:rsidRDefault="00075445" w:rsidP="00075445">
      <w:pPr>
        <w:rPr>
          <w:b/>
          <w:bCs/>
          <w:sz w:val="28"/>
          <w:szCs w:val="28"/>
        </w:rPr>
      </w:pPr>
      <w:bookmarkStart w:id="12" w:name="Thrombocytopenia"/>
      <w:r w:rsidRPr="00147D14">
        <w:rPr>
          <w:b/>
          <w:bCs/>
          <w:sz w:val="28"/>
          <w:szCs w:val="28"/>
        </w:rPr>
        <w:t>Thrombocytopenia</w:t>
      </w:r>
    </w:p>
    <w:bookmarkEnd w:id="12"/>
    <w:p w14:paraId="6ADEC217" w14:textId="77777777" w:rsidR="00075445" w:rsidRDefault="00075445" w:rsidP="0032154E">
      <w:pPr>
        <w:pStyle w:val="ListParagraph"/>
        <w:numPr>
          <w:ilvl w:val="0"/>
          <w:numId w:val="14"/>
        </w:numPr>
      </w:pPr>
      <w:r w:rsidRPr="008B6594">
        <w:t>Isolated thrombocytopenia</w:t>
      </w:r>
    </w:p>
    <w:p w14:paraId="7EC8DD45" w14:textId="77777777" w:rsidR="00075445" w:rsidRPr="008B6A90" w:rsidRDefault="00075445" w:rsidP="0032154E">
      <w:pPr>
        <w:pStyle w:val="ListParagraph"/>
        <w:numPr>
          <w:ilvl w:val="0"/>
          <w:numId w:val="15"/>
        </w:numPr>
        <w:ind w:left="1080"/>
        <w:rPr>
          <w:b/>
        </w:rPr>
      </w:pPr>
      <w:r>
        <w:t xml:space="preserve">If only one abnormal result, please repeat to confirm low platelets. </w:t>
      </w:r>
    </w:p>
    <w:p w14:paraId="7ADD9613" w14:textId="77777777" w:rsidR="00075445" w:rsidRDefault="00075445" w:rsidP="0032154E">
      <w:pPr>
        <w:pStyle w:val="ListParagraph"/>
        <w:ind w:left="1080"/>
        <w:rPr>
          <w:b/>
        </w:rPr>
      </w:pPr>
    </w:p>
    <w:p w14:paraId="21D35A67" w14:textId="77777777" w:rsidR="00075445" w:rsidRPr="008B6A90" w:rsidRDefault="00075445" w:rsidP="0032154E">
      <w:pPr>
        <w:pStyle w:val="ListParagraph"/>
        <w:numPr>
          <w:ilvl w:val="0"/>
          <w:numId w:val="15"/>
        </w:numPr>
        <w:ind w:left="1080"/>
      </w:pPr>
      <w:r w:rsidRPr="008B6A90">
        <w:t>If platelets</w:t>
      </w:r>
      <w:r>
        <w:t xml:space="preserve"> persistently &lt;100</w:t>
      </w:r>
    </w:p>
    <w:p w14:paraId="443FF2DD" w14:textId="77777777" w:rsidR="00075445" w:rsidRDefault="00075445" w:rsidP="0032154E">
      <w:pPr>
        <w:pStyle w:val="ListParagraph"/>
        <w:numPr>
          <w:ilvl w:val="1"/>
          <w:numId w:val="15"/>
        </w:numPr>
        <w:ind w:left="1800"/>
      </w:pPr>
      <w:r>
        <w:t>Assess for liver disease (LFT’s, hepatitis screen, upper abdominal ultrasound)</w:t>
      </w:r>
    </w:p>
    <w:p w14:paraId="6454F322" w14:textId="77777777" w:rsidR="00075445" w:rsidRDefault="00075445" w:rsidP="0032154E">
      <w:pPr>
        <w:pStyle w:val="ListParagraph"/>
        <w:numPr>
          <w:ilvl w:val="1"/>
          <w:numId w:val="15"/>
        </w:numPr>
        <w:ind w:left="1800"/>
      </w:pPr>
      <w:r>
        <w:t>Review medication and alcohol history</w:t>
      </w:r>
    </w:p>
    <w:p w14:paraId="2A0039F1" w14:textId="77777777" w:rsidR="00075445" w:rsidRDefault="00075445" w:rsidP="0032154E">
      <w:pPr>
        <w:pStyle w:val="ListParagraph"/>
        <w:numPr>
          <w:ilvl w:val="1"/>
          <w:numId w:val="15"/>
        </w:numPr>
        <w:ind w:left="1800"/>
      </w:pPr>
      <w:r>
        <w:t>HIV, coagulation screen, B12/ folate, thyroid function and autoantibody screen</w:t>
      </w:r>
    </w:p>
    <w:p w14:paraId="65BB9D2D" w14:textId="77777777" w:rsidR="00075445" w:rsidRPr="008B6A90" w:rsidRDefault="00075445" w:rsidP="0032154E">
      <w:pPr>
        <w:pStyle w:val="ListParagraph"/>
        <w:ind w:left="1080"/>
      </w:pPr>
    </w:p>
    <w:p w14:paraId="6989C440" w14:textId="77777777" w:rsidR="00075445" w:rsidRPr="008B6A90" w:rsidRDefault="00075445" w:rsidP="0032154E">
      <w:pPr>
        <w:pStyle w:val="ListParagraph"/>
        <w:numPr>
          <w:ilvl w:val="0"/>
          <w:numId w:val="15"/>
        </w:numPr>
        <w:ind w:left="1080"/>
      </w:pPr>
      <w:r w:rsidRPr="008B6A90">
        <w:t xml:space="preserve">If  platelets </w:t>
      </w:r>
      <w:r>
        <w:t>persistently</w:t>
      </w:r>
      <w:r w:rsidRPr="008B6A90">
        <w:t xml:space="preserve"> &lt; 70 </w:t>
      </w:r>
    </w:p>
    <w:p w14:paraId="653AC395" w14:textId="77777777" w:rsidR="00075445" w:rsidRDefault="00075445" w:rsidP="0032154E">
      <w:pPr>
        <w:pStyle w:val="ListParagraph"/>
        <w:numPr>
          <w:ilvl w:val="1"/>
          <w:numId w:val="15"/>
        </w:numPr>
        <w:ind w:left="1800"/>
      </w:pPr>
      <w:r>
        <w:t>Routine referral to Haematology if you have excluded it is medication related, due to alcohol excess or due to liver disease / cirrhosis.</w:t>
      </w:r>
    </w:p>
    <w:p w14:paraId="1A6E2065" w14:textId="77777777" w:rsidR="00075445" w:rsidRDefault="00075445" w:rsidP="0032154E">
      <w:pPr>
        <w:pStyle w:val="ListParagraph"/>
        <w:numPr>
          <w:ilvl w:val="1"/>
          <w:numId w:val="15"/>
        </w:numPr>
        <w:ind w:left="1800"/>
      </w:pPr>
      <w:r>
        <w:t>If the thrombocytopenia is associated with abnormalities in the Hb or white cell count discuss with haematology</w:t>
      </w:r>
    </w:p>
    <w:p w14:paraId="0DDD8070" w14:textId="77777777" w:rsidR="00075445" w:rsidRDefault="00075445" w:rsidP="00075445">
      <w:pPr>
        <w:pStyle w:val="ListParagraph"/>
      </w:pPr>
    </w:p>
    <w:p w14:paraId="0594EF94" w14:textId="77777777" w:rsidR="00075445" w:rsidRPr="00E45802" w:rsidRDefault="00075445" w:rsidP="0032154E">
      <w:pPr>
        <w:pStyle w:val="ListParagraph"/>
        <w:numPr>
          <w:ilvl w:val="0"/>
          <w:numId w:val="14"/>
        </w:numPr>
      </w:pPr>
      <w:r w:rsidRPr="00E45802">
        <w:t xml:space="preserve">Standard advice if patients with mild / stable thrombocytopenia are discharged from clinic </w:t>
      </w:r>
    </w:p>
    <w:p w14:paraId="3DB7BEA8" w14:textId="77777777" w:rsidR="00075445" w:rsidRDefault="00075445" w:rsidP="0032154E">
      <w:pPr>
        <w:pStyle w:val="ListParagraph"/>
        <w:numPr>
          <w:ilvl w:val="1"/>
          <w:numId w:val="14"/>
        </w:numPr>
      </w:pPr>
      <w:r>
        <w:t>Routine FBC monitoring is not required unless patient has haemorrhagic symptoms or requires a surgical procedure.</w:t>
      </w:r>
    </w:p>
    <w:p w14:paraId="740AA7E1" w14:textId="6C8346AF" w:rsidR="00EB73A1" w:rsidRPr="00EB73A1" w:rsidRDefault="00075445" w:rsidP="00EB73A1">
      <w:pPr>
        <w:pStyle w:val="ListParagraph"/>
        <w:numPr>
          <w:ilvl w:val="1"/>
          <w:numId w:val="14"/>
        </w:numPr>
      </w:pPr>
      <w:r>
        <w:t>Avoid NSAIDS and use anti-platelets and anticoagulants with caution weighing up risks and benefits.</w:t>
      </w:r>
    </w:p>
    <w:sectPr w:rsidR="00EB73A1" w:rsidRPr="00EB73A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4B3DD" w14:textId="77777777" w:rsidR="002A79D2" w:rsidRDefault="002A79D2" w:rsidP="00A903A2">
      <w:pPr>
        <w:spacing w:after="0" w:line="240" w:lineRule="auto"/>
      </w:pPr>
      <w:r>
        <w:separator/>
      </w:r>
    </w:p>
  </w:endnote>
  <w:endnote w:type="continuationSeparator" w:id="0">
    <w:p w14:paraId="0C345922" w14:textId="77777777" w:rsidR="002A79D2" w:rsidRDefault="002A79D2" w:rsidP="00A9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47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21C14" w14:textId="70E43A60" w:rsidR="00A903A2" w:rsidRDefault="00A903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DD12AB" w14:textId="648571AA" w:rsidR="00A903A2" w:rsidRDefault="0032154E">
    <w:pPr>
      <w:pStyle w:val="Footer"/>
    </w:pPr>
    <w:r>
      <w:t>Draft NWAFT haematology guidelines March 2022 V0.1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01B6E" w14:textId="77777777" w:rsidR="002A79D2" w:rsidRDefault="002A79D2" w:rsidP="00A903A2">
      <w:pPr>
        <w:spacing w:after="0" w:line="240" w:lineRule="auto"/>
      </w:pPr>
      <w:r>
        <w:separator/>
      </w:r>
    </w:p>
  </w:footnote>
  <w:footnote w:type="continuationSeparator" w:id="0">
    <w:p w14:paraId="13F2377F" w14:textId="77777777" w:rsidR="002A79D2" w:rsidRDefault="002A79D2" w:rsidP="00A9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2E3B" w14:textId="63026BFF" w:rsidR="00A903A2" w:rsidRPr="008E05D1" w:rsidRDefault="00A903A2" w:rsidP="00A903A2">
    <w:pPr>
      <w:rPr>
        <w:b/>
        <w:u w:val="single"/>
      </w:rPr>
    </w:pPr>
    <w:r>
      <w:rPr>
        <w:b/>
        <w:u w:val="single"/>
      </w:rPr>
      <w:t xml:space="preserve">NWAFT Departmental Advice for Common Haematological Abnormalities </w:t>
    </w:r>
  </w:p>
  <w:p w14:paraId="3EBA97BB" w14:textId="77777777" w:rsidR="00A903A2" w:rsidRDefault="00A90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0A0"/>
    <w:multiLevelType w:val="hybridMultilevel"/>
    <w:tmpl w:val="68480D8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648D"/>
    <w:multiLevelType w:val="hybridMultilevel"/>
    <w:tmpl w:val="6DEC791C"/>
    <w:lvl w:ilvl="0" w:tplc="E544E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700"/>
    <w:multiLevelType w:val="hybridMultilevel"/>
    <w:tmpl w:val="0D586A7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4729"/>
    <w:multiLevelType w:val="hybridMultilevel"/>
    <w:tmpl w:val="7B0CE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57E67"/>
    <w:multiLevelType w:val="hybridMultilevel"/>
    <w:tmpl w:val="F9D06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151D"/>
    <w:multiLevelType w:val="hybridMultilevel"/>
    <w:tmpl w:val="74CE9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D6117"/>
    <w:multiLevelType w:val="hybridMultilevel"/>
    <w:tmpl w:val="CEBA2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733E6"/>
    <w:multiLevelType w:val="hybridMultilevel"/>
    <w:tmpl w:val="7BBEA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86A57"/>
    <w:multiLevelType w:val="hybridMultilevel"/>
    <w:tmpl w:val="AF14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C2DFC"/>
    <w:multiLevelType w:val="hybridMultilevel"/>
    <w:tmpl w:val="D452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66DC8"/>
    <w:multiLevelType w:val="hybridMultilevel"/>
    <w:tmpl w:val="C54C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610E7"/>
    <w:multiLevelType w:val="hybridMultilevel"/>
    <w:tmpl w:val="5B88F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881762"/>
    <w:multiLevelType w:val="hybridMultilevel"/>
    <w:tmpl w:val="0FDA5D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56F9"/>
    <w:multiLevelType w:val="hybridMultilevel"/>
    <w:tmpl w:val="A2843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D40D08"/>
    <w:multiLevelType w:val="hybridMultilevel"/>
    <w:tmpl w:val="EC4247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3192C"/>
    <w:multiLevelType w:val="hybridMultilevel"/>
    <w:tmpl w:val="2BD60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70109">
    <w:abstractNumId w:val="15"/>
  </w:num>
  <w:num w:numId="2" w16cid:durableId="2077170235">
    <w:abstractNumId w:val="6"/>
  </w:num>
  <w:num w:numId="3" w16cid:durableId="690882770">
    <w:abstractNumId w:val="3"/>
  </w:num>
  <w:num w:numId="4" w16cid:durableId="2125727616">
    <w:abstractNumId w:val="11"/>
  </w:num>
  <w:num w:numId="5" w16cid:durableId="2136563710">
    <w:abstractNumId w:val="9"/>
  </w:num>
  <w:num w:numId="6" w16cid:durableId="717508416">
    <w:abstractNumId w:val="1"/>
  </w:num>
  <w:num w:numId="7" w16cid:durableId="74791905">
    <w:abstractNumId w:val="10"/>
  </w:num>
  <w:num w:numId="8" w16cid:durableId="815028417">
    <w:abstractNumId w:val="4"/>
  </w:num>
  <w:num w:numId="9" w16cid:durableId="1993634435">
    <w:abstractNumId w:val="5"/>
  </w:num>
  <w:num w:numId="10" w16cid:durableId="800655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370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4210786">
    <w:abstractNumId w:val="0"/>
  </w:num>
  <w:num w:numId="13" w16cid:durableId="1161970671">
    <w:abstractNumId w:val="13"/>
  </w:num>
  <w:num w:numId="14" w16cid:durableId="1087193112">
    <w:abstractNumId w:val="8"/>
  </w:num>
  <w:num w:numId="15" w16cid:durableId="1076437089">
    <w:abstractNumId w:val="14"/>
  </w:num>
  <w:num w:numId="16" w16cid:durableId="232589816">
    <w:abstractNumId w:val="2"/>
  </w:num>
  <w:num w:numId="17" w16cid:durableId="1197766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3A"/>
    <w:rsid w:val="0000781C"/>
    <w:rsid w:val="00013977"/>
    <w:rsid w:val="00022E8D"/>
    <w:rsid w:val="0003716B"/>
    <w:rsid w:val="00075445"/>
    <w:rsid w:val="00083DC7"/>
    <w:rsid w:val="000C2899"/>
    <w:rsid w:val="00147D14"/>
    <w:rsid w:val="00150148"/>
    <w:rsid w:val="001675A3"/>
    <w:rsid w:val="00167E73"/>
    <w:rsid w:val="001703EE"/>
    <w:rsid w:val="00174B59"/>
    <w:rsid w:val="00190FEC"/>
    <w:rsid w:val="001A7761"/>
    <w:rsid w:val="001B2EE2"/>
    <w:rsid w:val="00235331"/>
    <w:rsid w:val="00270EE8"/>
    <w:rsid w:val="002766E3"/>
    <w:rsid w:val="00281265"/>
    <w:rsid w:val="002A79D2"/>
    <w:rsid w:val="002B3C26"/>
    <w:rsid w:val="002C13F2"/>
    <w:rsid w:val="00316C99"/>
    <w:rsid w:val="0032154E"/>
    <w:rsid w:val="00340F10"/>
    <w:rsid w:val="00357C6A"/>
    <w:rsid w:val="003850BB"/>
    <w:rsid w:val="003C5564"/>
    <w:rsid w:val="0043733A"/>
    <w:rsid w:val="00462A71"/>
    <w:rsid w:val="00494F6E"/>
    <w:rsid w:val="004A09B6"/>
    <w:rsid w:val="004B11F4"/>
    <w:rsid w:val="004F0156"/>
    <w:rsid w:val="004F1DFF"/>
    <w:rsid w:val="00521059"/>
    <w:rsid w:val="00525664"/>
    <w:rsid w:val="00532E78"/>
    <w:rsid w:val="00533842"/>
    <w:rsid w:val="00633D8D"/>
    <w:rsid w:val="006746D2"/>
    <w:rsid w:val="006A07AA"/>
    <w:rsid w:val="006B3230"/>
    <w:rsid w:val="006C05B9"/>
    <w:rsid w:val="006D647C"/>
    <w:rsid w:val="00703D32"/>
    <w:rsid w:val="00706CB0"/>
    <w:rsid w:val="007116E6"/>
    <w:rsid w:val="0071172D"/>
    <w:rsid w:val="0077570E"/>
    <w:rsid w:val="007849BA"/>
    <w:rsid w:val="00792304"/>
    <w:rsid w:val="007B216B"/>
    <w:rsid w:val="007B7102"/>
    <w:rsid w:val="007D0392"/>
    <w:rsid w:val="007F3A4B"/>
    <w:rsid w:val="0080042D"/>
    <w:rsid w:val="00824CBF"/>
    <w:rsid w:val="008265D8"/>
    <w:rsid w:val="00834820"/>
    <w:rsid w:val="008641AD"/>
    <w:rsid w:val="008B6594"/>
    <w:rsid w:val="008B6A90"/>
    <w:rsid w:val="008C5C79"/>
    <w:rsid w:val="008D6ED4"/>
    <w:rsid w:val="008E05D1"/>
    <w:rsid w:val="008F42CE"/>
    <w:rsid w:val="00932106"/>
    <w:rsid w:val="0093713E"/>
    <w:rsid w:val="009629A8"/>
    <w:rsid w:val="009A27AA"/>
    <w:rsid w:val="009B0E90"/>
    <w:rsid w:val="009D7AE7"/>
    <w:rsid w:val="009F39AD"/>
    <w:rsid w:val="00A03E84"/>
    <w:rsid w:val="00A1539F"/>
    <w:rsid w:val="00A529D6"/>
    <w:rsid w:val="00A744DB"/>
    <w:rsid w:val="00A903A2"/>
    <w:rsid w:val="00AF4D54"/>
    <w:rsid w:val="00B40CC5"/>
    <w:rsid w:val="00B67358"/>
    <w:rsid w:val="00B85F69"/>
    <w:rsid w:val="00BC601C"/>
    <w:rsid w:val="00BF4F2F"/>
    <w:rsid w:val="00C05394"/>
    <w:rsid w:val="00C503EA"/>
    <w:rsid w:val="00C67947"/>
    <w:rsid w:val="00C77E33"/>
    <w:rsid w:val="00C82A91"/>
    <w:rsid w:val="00C87A63"/>
    <w:rsid w:val="00D11CD0"/>
    <w:rsid w:val="00D1334F"/>
    <w:rsid w:val="00D24B8F"/>
    <w:rsid w:val="00D63CFC"/>
    <w:rsid w:val="00DB4EA7"/>
    <w:rsid w:val="00DE6AE6"/>
    <w:rsid w:val="00E0542E"/>
    <w:rsid w:val="00E07EF1"/>
    <w:rsid w:val="00E45802"/>
    <w:rsid w:val="00EB73A1"/>
    <w:rsid w:val="00EC45F0"/>
    <w:rsid w:val="00EC4C7F"/>
    <w:rsid w:val="00F56C7F"/>
    <w:rsid w:val="00F82DB3"/>
    <w:rsid w:val="00FD20A9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2E44"/>
  <w15:chartTrackingRefBased/>
  <w15:docId w15:val="{A86D91E0-FCEB-470F-BC5A-E1D9AB46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5D1"/>
    <w:pPr>
      <w:ind w:left="720"/>
      <w:contextualSpacing/>
    </w:pPr>
  </w:style>
  <w:style w:type="character" w:customStyle="1" w:styleId="fontstyle01">
    <w:name w:val="fontstyle01"/>
    <w:basedOn w:val="DefaultParagraphFont"/>
    <w:rsid w:val="00F82DB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A2"/>
  </w:style>
  <w:style w:type="paragraph" w:styleId="Footer">
    <w:name w:val="footer"/>
    <w:basedOn w:val="Normal"/>
    <w:link w:val="FooterChar"/>
    <w:uiPriority w:val="99"/>
    <w:unhideWhenUsed/>
    <w:rsid w:val="00A9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A2"/>
  </w:style>
  <w:style w:type="character" w:styleId="Hyperlink">
    <w:name w:val="Hyperlink"/>
    <w:basedOn w:val="DefaultParagraphFont"/>
    <w:uiPriority w:val="99"/>
    <w:unhideWhenUsed/>
    <w:rsid w:val="00D11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C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7E3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C1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ernliver.files.wordpress.com/2022/02/hepatology_referral_pathways_for_gps_v15_may_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mbridgeshireandpeterboroughccg.nhs.uk/EasySiteWeb/GatewayLink.aspx?alId=218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-s-h.org.uk/guidelines/guidelines/investigation-and-management-of-a-raised-serum-ferrit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Anglia NHS Foundation Trust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KAUL, Stuti (NORTH WEST ANGLIA NHS FOUNDATION TRUST)</dc:creator>
  <cp:keywords/>
  <dc:description/>
  <cp:lastModifiedBy>Fowler, Alexis (NORTH WEST ANGLIA NHS FOUNDATION TRUST)</cp:lastModifiedBy>
  <cp:revision>4</cp:revision>
  <dcterms:created xsi:type="dcterms:W3CDTF">2024-08-02T14:12:00Z</dcterms:created>
  <dcterms:modified xsi:type="dcterms:W3CDTF">2024-08-02T14:14:00Z</dcterms:modified>
</cp:coreProperties>
</file>