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5CD4" w14:textId="77777777" w:rsidR="00B67AEA" w:rsidRDefault="00A92215" w:rsidP="00B67AEA">
      <w:pPr>
        <w:pStyle w:val="Heading1"/>
        <w:tabs>
          <w:tab w:val="clear" w:pos="567"/>
        </w:tabs>
        <w:rPr>
          <w:rFonts w:cs="Arial"/>
        </w:rPr>
      </w:pPr>
      <w:r>
        <w:rPr>
          <w:rFonts w:cs="Arial"/>
        </w:rPr>
        <w:t>NURSE PRACTITIONER REFERRAL FOR X-RAYS PROTOCOL</w:t>
      </w:r>
    </w:p>
    <w:p w14:paraId="25B10F81" w14:textId="77777777" w:rsidR="00876F15" w:rsidRPr="00B67AEA" w:rsidRDefault="00876F15" w:rsidP="00B67AEA">
      <w:pPr>
        <w:pStyle w:val="ParagrahHeading"/>
      </w:pPr>
      <w:r w:rsidRPr="00B67AEA">
        <w:t>Introduction</w:t>
      </w:r>
    </w:p>
    <w:p w14:paraId="14AC7D37" w14:textId="77777777" w:rsidR="00A92215" w:rsidRPr="00B34016" w:rsidRDefault="00A92215" w:rsidP="00B34016">
      <w:pPr>
        <w:pStyle w:val="ParagraphText"/>
      </w:pPr>
      <w:r w:rsidRPr="00B34016">
        <w:t xml:space="preserve">The NHS plan (Department of Health 2000) included many initiatives to modernise the way in which care is delivered. </w:t>
      </w:r>
      <w:r w:rsidR="00960CD0">
        <w:t xml:space="preserve"> </w:t>
      </w:r>
      <w:r w:rsidRPr="00B34016">
        <w:t>This includes broadening the scope of practice for many health care professionals and referring patients for diagnost</w:t>
      </w:r>
      <w:r w:rsidR="007C1018">
        <w:t>ic imaging is just one example.</w:t>
      </w:r>
    </w:p>
    <w:p w14:paraId="384C670C" w14:textId="77777777" w:rsidR="00A92215" w:rsidRPr="00B34016" w:rsidRDefault="006654B1" w:rsidP="00B34016">
      <w:pPr>
        <w:pStyle w:val="ParagraphText"/>
      </w:pPr>
      <w:r>
        <w:t>University o</w:t>
      </w:r>
      <w:r w:rsidR="00B51F35">
        <w:t>f Lincoln Health Service</w:t>
      </w:r>
      <w:r>
        <w:t>s</w:t>
      </w:r>
      <w:r w:rsidR="00B51F35">
        <w:t xml:space="preserve"> (ULHS)</w:t>
      </w:r>
      <w:r w:rsidR="00A92215" w:rsidRPr="00B34016">
        <w:t xml:space="preserve"> employs Nurse Practitioner(s) to see patients presenting with a range of undifferentiated and undiagnosed conditions as per the Royal College of Nursing [RCN] (2008). </w:t>
      </w:r>
      <w:r w:rsidR="00960CD0">
        <w:t xml:space="preserve"> </w:t>
      </w:r>
      <w:r w:rsidR="00A92215" w:rsidRPr="00B34016">
        <w:t>The Nurse Practitioner(s) complement the work of the General Practitioners and other health professionals who work at the surgery.</w:t>
      </w:r>
    </w:p>
    <w:p w14:paraId="6619F672" w14:textId="77777777" w:rsidR="00A92215" w:rsidRPr="00B34016" w:rsidRDefault="00A92215" w:rsidP="00B34016">
      <w:pPr>
        <w:pStyle w:val="ParagraphText"/>
      </w:pPr>
      <w:r w:rsidRPr="00B34016">
        <w:t>The role of the Nurse Practitioner in Primary care has been evolving at a rapid rate over the last few years with increasing levels of competence (Crewe2007)</w:t>
      </w:r>
      <w:r w:rsidR="007C1018">
        <w:t>.</w:t>
      </w:r>
    </w:p>
    <w:p w14:paraId="0D10715F" w14:textId="77777777" w:rsidR="00A92215" w:rsidRPr="00B34016" w:rsidRDefault="00A92215" w:rsidP="00B34016">
      <w:pPr>
        <w:pStyle w:val="ParagraphText"/>
        <w:rPr>
          <w:i/>
        </w:rPr>
      </w:pPr>
      <w:r w:rsidRPr="00B34016">
        <w:rPr>
          <w:i/>
        </w:rPr>
        <w:t xml:space="preserve">A Nurse Practitioner (primary care) is an independent practitioner who </w:t>
      </w:r>
      <w:proofErr w:type="gramStart"/>
      <w:r w:rsidRPr="00B34016">
        <w:rPr>
          <w:i/>
        </w:rPr>
        <w:t>is able to</w:t>
      </w:r>
      <w:proofErr w:type="gramEnd"/>
      <w:r w:rsidRPr="00B34016">
        <w:rPr>
          <w:i/>
        </w:rPr>
        <w:t xml:space="preserve"> demonstrate a high level of defined competencies, which enables them to manage a whole range of clinical situations. This incorporates diagnostics, therapeutics, decision making and clinical management, which is complimentary to other members of the primary health care team. (Coombs 2001, cited in Crewe 2007</w:t>
      </w:r>
      <w:r w:rsidR="00960CD0">
        <w:rPr>
          <w:i/>
        </w:rPr>
        <w:t>)</w:t>
      </w:r>
    </w:p>
    <w:p w14:paraId="4ADA09F3" w14:textId="77777777" w:rsidR="00A92215" w:rsidRPr="00B34016" w:rsidRDefault="00A92215" w:rsidP="00B34016">
      <w:pPr>
        <w:pStyle w:val="ParagraphText"/>
      </w:pPr>
      <w:r w:rsidRPr="00B34016">
        <w:t xml:space="preserve">One of the 10 Key Roles for Nurses includes referral for diagnostic </w:t>
      </w:r>
      <w:r w:rsidR="00B51F35" w:rsidRPr="00B34016">
        <w:t>investigations</w:t>
      </w:r>
      <w:r w:rsidR="00B51F35">
        <w:t xml:space="preserve"> </w:t>
      </w:r>
      <w:r w:rsidR="00B51F35" w:rsidRPr="00B34016">
        <w:t>(</w:t>
      </w:r>
      <w:r w:rsidRPr="00B34016">
        <w:t>Department of Health 2000).</w:t>
      </w:r>
    </w:p>
    <w:p w14:paraId="29BC9136" w14:textId="77777777" w:rsidR="00A92215" w:rsidRPr="00B34016" w:rsidRDefault="00A92215" w:rsidP="00B34016">
      <w:pPr>
        <w:pStyle w:val="ParagraphText"/>
      </w:pPr>
      <w:r w:rsidRPr="00B34016">
        <w:t xml:space="preserve">Despite the role being viewed as independent and involving the above levels of competency, historically a Nurse Practitioner </w:t>
      </w:r>
      <w:proofErr w:type="gramStart"/>
      <w:r w:rsidRPr="00B34016">
        <w:t>has to</w:t>
      </w:r>
      <w:proofErr w:type="gramEnd"/>
      <w:r w:rsidRPr="00B34016">
        <w:t xml:space="preserve"> ask for a General Practitioner to review and refer a patient if they feel that further investigations such as x ray or ultrasound are needed. </w:t>
      </w:r>
      <w:r w:rsidR="00960CD0">
        <w:t xml:space="preserve"> </w:t>
      </w:r>
      <w:r w:rsidRPr="00B34016">
        <w:t xml:space="preserve">This leads to limitations in the role </w:t>
      </w:r>
      <w:proofErr w:type="gramStart"/>
      <w:r w:rsidRPr="00B34016">
        <w:t>and also</w:t>
      </w:r>
      <w:proofErr w:type="gramEnd"/>
      <w:r w:rsidRPr="00B34016">
        <w:t xml:space="preserve"> does not enhance a holistic approach to care (Crewe 2007)</w:t>
      </w:r>
      <w:r w:rsidR="00960CD0">
        <w:t>.</w:t>
      </w:r>
    </w:p>
    <w:p w14:paraId="421B879A" w14:textId="77777777" w:rsidR="00A92215" w:rsidRPr="00B34016" w:rsidRDefault="007C1018" w:rsidP="00B34016">
      <w:pPr>
        <w:pStyle w:val="ParagrahHeading"/>
      </w:pPr>
      <w:r>
        <w:t>Aims &amp; Objectives</w:t>
      </w:r>
    </w:p>
    <w:p w14:paraId="352E079F" w14:textId="77777777" w:rsidR="00A92215" w:rsidRPr="00B34016" w:rsidRDefault="00A92215" w:rsidP="00B34016">
      <w:pPr>
        <w:pStyle w:val="ParagraphText"/>
      </w:pPr>
      <w:r w:rsidRPr="00B34016">
        <w:t xml:space="preserve">To ensure that patients who attend an appointment with the Nurse Practitioner(s) at </w:t>
      </w:r>
      <w:r w:rsidR="00B51F35">
        <w:t>ULHS</w:t>
      </w:r>
      <w:r w:rsidRPr="00B34016">
        <w:t xml:space="preserve"> and require further investigation at the radiology department rec</w:t>
      </w:r>
      <w:r w:rsidR="00960CD0">
        <w:t>eive a timely and safe service.</w:t>
      </w:r>
    </w:p>
    <w:p w14:paraId="41E72F16" w14:textId="77777777" w:rsidR="00A92215" w:rsidRPr="00B34016" w:rsidRDefault="00A92215" w:rsidP="00B34016">
      <w:pPr>
        <w:pStyle w:val="ParagrahHeading"/>
      </w:pPr>
      <w:r w:rsidRPr="00B34016">
        <w:t>Purpose &amp; Scope</w:t>
      </w:r>
    </w:p>
    <w:p w14:paraId="5D062E0A" w14:textId="77777777" w:rsidR="00A92215" w:rsidRPr="00B34016" w:rsidRDefault="00A92215" w:rsidP="00B34016">
      <w:pPr>
        <w:pStyle w:val="ParagraphText"/>
      </w:pPr>
      <w:r w:rsidRPr="00B34016">
        <w:t xml:space="preserve">This document sets out the guidelines for Nurse Practitioners employed by </w:t>
      </w:r>
      <w:r w:rsidR="00B51F35">
        <w:t>ULHS</w:t>
      </w:r>
      <w:r w:rsidRPr="00B34016">
        <w:t xml:space="preserve"> to refer patients for examinations performed by the radiology departments at United Lincolnshire Hospitals NHS Trust.</w:t>
      </w:r>
    </w:p>
    <w:p w14:paraId="512127AC" w14:textId="77777777" w:rsidR="00A92215" w:rsidRPr="00B34016" w:rsidRDefault="00B51F35" w:rsidP="00B34016">
      <w:pPr>
        <w:pStyle w:val="ParagraphText"/>
      </w:pPr>
      <w:r>
        <w:t>ULHS</w:t>
      </w:r>
      <w:r w:rsidR="00A92215">
        <w:t xml:space="preserve">, as the employing practice, </w:t>
      </w:r>
      <w:r w:rsidR="00A92215" w:rsidRPr="00B34016">
        <w:t>adopts the protocol after judging that it is appropriate to the circumstances of the practice and the competence of the individual N</w:t>
      </w:r>
      <w:r w:rsidR="00960CD0">
        <w:t>urse Practitioner(s) concerned.</w:t>
      </w:r>
    </w:p>
    <w:p w14:paraId="7FFBDCDA" w14:textId="77777777" w:rsidR="00A92215" w:rsidRPr="00B34016" w:rsidRDefault="00A92215" w:rsidP="00B34016">
      <w:pPr>
        <w:pStyle w:val="ParagrahHeading"/>
      </w:pPr>
      <w:r w:rsidRPr="00B34016">
        <w:t>Eligibility Criteria of Nurse Practitioners</w:t>
      </w:r>
    </w:p>
    <w:p w14:paraId="7C54A28F" w14:textId="77777777" w:rsidR="00A92215" w:rsidRPr="00B34016" w:rsidRDefault="00A92215" w:rsidP="00B34016">
      <w:pPr>
        <w:pStyle w:val="ParagraphText"/>
      </w:pPr>
      <w:r w:rsidRPr="00B34016">
        <w:t>Referring Nurse Practitioner must:</w:t>
      </w:r>
    </w:p>
    <w:p w14:paraId="55ED4275" w14:textId="77777777" w:rsidR="00A92215" w:rsidRPr="00B34016" w:rsidRDefault="00A92215" w:rsidP="00B34016">
      <w:pPr>
        <w:pStyle w:val="ParagrahBulletList"/>
      </w:pPr>
      <w:r w:rsidRPr="00B34016">
        <w:t>Be registered with the Nursing &amp; Midwifery Council (NMC)</w:t>
      </w:r>
    </w:p>
    <w:p w14:paraId="0A1B5BBF" w14:textId="77777777" w:rsidR="00A92215" w:rsidRPr="00E73531" w:rsidRDefault="00A92215" w:rsidP="00B34016">
      <w:pPr>
        <w:pStyle w:val="ParagrahBulletList"/>
      </w:pPr>
      <w:r w:rsidRPr="00B34016">
        <w:t>Completed a 1st degree or a Post Graduate diploma/MSc and hold a recognised qualification as a Nurse Practitioner or Autonomous Practitioner.</w:t>
      </w:r>
    </w:p>
    <w:p w14:paraId="569B6EAD" w14:textId="77777777" w:rsidR="00A92215" w:rsidRPr="00044F6F" w:rsidRDefault="00A92215" w:rsidP="00B34016">
      <w:pPr>
        <w:pStyle w:val="ParagrahBulletList"/>
      </w:pPr>
      <w:r w:rsidRPr="00B34016">
        <w:t>Have undertaken training on the Ionising Radiations (Medical Expo</w:t>
      </w:r>
      <w:r w:rsidR="002B7642">
        <w:t>sure) Regulations (IR[ME]R) 2017</w:t>
      </w:r>
      <w:r w:rsidRPr="00B34016">
        <w:t xml:space="preserve"> provided by United Lincolnshire Hospitals Trust Radiology Departmen</w:t>
      </w:r>
      <w:r w:rsidR="00960CD0">
        <w:t>t or another suitable provider.</w:t>
      </w:r>
    </w:p>
    <w:p w14:paraId="23F1B6D8" w14:textId="77777777" w:rsidR="00A92215" w:rsidRPr="00B34016" w:rsidRDefault="00A92215" w:rsidP="00AF5FED">
      <w:pPr>
        <w:pStyle w:val="ParagrahBulletList"/>
      </w:pPr>
      <w:proofErr w:type="gramStart"/>
      <w:r w:rsidRPr="00B34016">
        <w:t>Submit an application</w:t>
      </w:r>
      <w:proofErr w:type="gramEnd"/>
      <w:r w:rsidRPr="00B34016">
        <w:t xml:space="preserve"> form (see appendix) to be approved as a non-medical referrer, together with a copy of all relevant certificates to the X-ray departments at United Lincolnshire Hospitals NHS Trust prior to referrals being made.</w:t>
      </w:r>
    </w:p>
    <w:p w14:paraId="0B0047B3" w14:textId="77777777" w:rsidR="00A92215" w:rsidRPr="00B34016" w:rsidRDefault="00A92215" w:rsidP="00B34016">
      <w:pPr>
        <w:pStyle w:val="ParagrahHeading"/>
      </w:pPr>
      <w:r w:rsidRPr="00B34016">
        <w:t>Roles and responsibilities</w:t>
      </w:r>
      <w:r w:rsidR="00B34016">
        <w:t xml:space="preserve"> (Nurse Practitioners)</w:t>
      </w:r>
    </w:p>
    <w:p w14:paraId="24CB5F97" w14:textId="77777777" w:rsidR="00A92215" w:rsidRPr="00B34016" w:rsidRDefault="00A92215" w:rsidP="00B34016">
      <w:pPr>
        <w:pStyle w:val="ParagrahBulletList"/>
      </w:pPr>
      <w:r w:rsidRPr="00B34016">
        <w:lastRenderedPageBreak/>
        <w:t>The Nurse Practitioner(s) must ensure they undertake tasks that they are competent to perform and adhere to the core competencies advocated by the RCN (2008)</w:t>
      </w:r>
      <w:r w:rsidR="00960CD0">
        <w:t>.</w:t>
      </w:r>
    </w:p>
    <w:p w14:paraId="291EFB39" w14:textId="77777777" w:rsidR="00A92215" w:rsidRPr="00B34016" w:rsidRDefault="00A92215" w:rsidP="00B34016">
      <w:pPr>
        <w:pStyle w:val="ParagrahBulletList"/>
      </w:pPr>
      <w:r w:rsidRPr="00B34016">
        <w:t xml:space="preserve">The Nurse Practitioner(s) is/are </w:t>
      </w:r>
      <w:proofErr w:type="gramStart"/>
      <w:r w:rsidRPr="00B34016">
        <w:t>bound by the current Professional Code of Conduct at all times</w:t>
      </w:r>
      <w:proofErr w:type="gramEnd"/>
      <w:r w:rsidRPr="00B34016">
        <w:t xml:space="preserve"> (Current Professional Code of Conduct at the time this policy was written was published in 2008 - NMC 2008).</w:t>
      </w:r>
    </w:p>
    <w:p w14:paraId="24988B9B" w14:textId="77777777" w:rsidR="00A92215" w:rsidRPr="00B34016" w:rsidRDefault="00A92215" w:rsidP="00B34016">
      <w:pPr>
        <w:pStyle w:val="ParagrahBulletList"/>
      </w:pPr>
      <w:r w:rsidRPr="00B34016">
        <w:t>It is essential that a Nurse Practitioner(s) continues to record in detail any clinical examination undertaken and history that may lead the Nurse Practitioner to request an investigation.</w:t>
      </w:r>
    </w:p>
    <w:p w14:paraId="0B30813E" w14:textId="77777777" w:rsidR="00A92215" w:rsidRPr="00B34016" w:rsidRDefault="00A92215" w:rsidP="00B34016">
      <w:pPr>
        <w:pStyle w:val="ParagrahBulletList"/>
      </w:pPr>
      <w:r w:rsidRPr="00B34016">
        <w:t>Prior to sending anyone for an investigation the referring Nurse Practitioner must ensure that the process will add to or alter the diagnosis and is beneficial to the patient as he/she is responsible for ensuring the patient is not exposed to unnecessary or unwarranted radiation.</w:t>
      </w:r>
    </w:p>
    <w:p w14:paraId="5EDAE962" w14:textId="77777777" w:rsidR="00A92215" w:rsidRPr="00B34016" w:rsidRDefault="00A92215" w:rsidP="00B34016">
      <w:pPr>
        <w:pStyle w:val="ParagrahBulletList"/>
      </w:pPr>
      <w:r w:rsidRPr="00B34016">
        <w:t xml:space="preserve">Complete a referral request form which complies with United Lincolnshire Hospitals NHS Trust policies for each patient being referred. </w:t>
      </w:r>
      <w:r w:rsidR="00960CD0">
        <w:t xml:space="preserve"> </w:t>
      </w:r>
      <w:r w:rsidRPr="00B34016">
        <w:t>This should include all relevant clinical history of the patient concerned as well as demographic patient details.</w:t>
      </w:r>
    </w:p>
    <w:p w14:paraId="0F3847D8" w14:textId="77777777" w:rsidR="00A92215" w:rsidRPr="00B34016" w:rsidRDefault="00A92215" w:rsidP="00B34016">
      <w:pPr>
        <w:pStyle w:val="ParagrahBulletList"/>
      </w:pPr>
      <w:r w:rsidRPr="00B34016">
        <w:t>The requesting Nurse Practitioner is responsible for managing/actioni</w:t>
      </w:r>
      <w:r w:rsidR="007C1018">
        <w:t>ng any x-ray/ultrasound result.</w:t>
      </w:r>
    </w:p>
    <w:p w14:paraId="7D28EAE1" w14:textId="77777777" w:rsidR="00A92215" w:rsidRPr="00B34016" w:rsidRDefault="00A92215" w:rsidP="00B34016">
      <w:pPr>
        <w:pStyle w:val="ParagrahBulletList"/>
      </w:pPr>
      <w:r w:rsidRPr="00B34016">
        <w:t>Co-operates with and participates in any audit of referral patterns and annual appraisals and adheres to any findings or recommendations from such audits and appraisals</w:t>
      </w:r>
      <w:r w:rsidR="007C1018">
        <w:t>.</w:t>
      </w:r>
    </w:p>
    <w:p w14:paraId="25C7A989" w14:textId="77777777" w:rsidR="00A92215" w:rsidRPr="00B34016" w:rsidRDefault="00B34016" w:rsidP="00B34016">
      <w:pPr>
        <w:pStyle w:val="ParagrahHeading"/>
      </w:pPr>
      <w:r w:rsidRPr="00B34016">
        <w:t>Roles and responsibilities</w:t>
      </w:r>
      <w:r>
        <w:t xml:space="preserve"> (G</w:t>
      </w:r>
      <w:r w:rsidR="00A92215" w:rsidRPr="00B34016">
        <w:t>eneral Practitioner</w:t>
      </w:r>
      <w:r>
        <w:t>)</w:t>
      </w:r>
    </w:p>
    <w:p w14:paraId="77BFA08B" w14:textId="77777777" w:rsidR="00A92215" w:rsidRPr="00B34016" w:rsidRDefault="00A92215" w:rsidP="00B34016">
      <w:pPr>
        <w:pStyle w:val="ParagrahBulletList"/>
      </w:pPr>
      <w:r w:rsidRPr="00B34016">
        <w:t>One of GP Partners will act as mentor to the nurse Practitioner(s).</w:t>
      </w:r>
    </w:p>
    <w:p w14:paraId="0D7EE20B" w14:textId="77777777" w:rsidR="00A92215" w:rsidRPr="00B34016" w:rsidRDefault="00A92215" w:rsidP="00B34016">
      <w:pPr>
        <w:pStyle w:val="ParagrahBulletList"/>
      </w:pPr>
      <w:r w:rsidRPr="00B34016">
        <w:t>Responsibility for the education of staff in relation to their role in the clinical area lies with the GP mentor.</w:t>
      </w:r>
    </w:p>
    <w:p w14:paraId="57B2890D" w14:textId="77777777" w:rsidR="00A92215" w:rsidRPr="00B34016" w:rsidRDefault="00A92215" w:rsidP="00B34016">
      <w:pPr>
        <w:pStyle w:val="ParagrahBulletList"/>
      </w:pPr>
      <w:r w:rsidRPr="00B34016">
        <w:t>One of the GP Partners will participate in the annual appraisal of any Nurse Practitioners employed by the practice</w:t>
      </w:r>
      <w:r w:rsidR="00960CD0">
        <w:t>.</w:t>
      </w:r>
    </w:p>
    <w:p w14:paraId="77409561" w14:textId="77777777" w:rsidR="00A92215" w:rsidRPr="00B34016" w:rsidRDefault="00A92215" w:rsidP="00B34016">
      <w:pPr>
        <w:pStyle w:val="ParagrahBulletList"/>
      </w:pPr>
      <w:r w:rsidRPr="00B34016">
        <w:t xml:space="preserve">Ensure that audit of referrals from Nurse Practitioner(s) take place on an annual basis. </w:t>
      </w:r>
      <w:r w:rsidR="00960CD0">
        <w:t xml:space="preserve"> </w:t>
      </w:r>
      <w:r w:rsidRPr="00B34016">
        <w:t>This could be delegated to a</w:t>
      </w:r>
      <w:r w:rsidR="00960CD0">
        <w:t>n appointed representative.</w:t>
      </w:r>
    </w:p>
    <w:p w14:paraId="03AFAC65" w14:textId="77777777" w:rsidR="00A92215" w:rsidRPr="00B34016" w:rsidRDefault="00B34016" w:rsidP="00B34016">
      <w:pPr>
        <w:pStyle w:val="ParagrahHeading"/>
      </w:pPr>
      <w:r w:rsidRPr="00B34016">
        <w:t>Roles and responsibilities</w:t>
      </w:r>
      <w:r>
        <w:t xml:space="preserve"> (Practice Manager)</w:t>
      </w:r>
    </w:p>
    <w:p w14:paraId="05753F70" w14:textId="77777777" w:rsidR="00A92215" w:rsidRPr="00B34016" w:rsidRDefault="00A92215" w:rsidP="00B34016">
      <w:pPr>
        <w:pStyle w:val="ParagrahBulletList"/>
      </w:pPr>
      <w:r w:rsidRPr="00B34016">
        <w:t xml:space="preserve">It is the responsibility of the Practice Manager to ensure this protocol is reviewed on an annual basis by him/her or his/her appointed representative. </w:t>
      </w:r>
      <w:r w:rsidR="00960CD0">
        <w:t xml:space="preserve"> </w:t>
      </w:r>
      <w:r w:rsidRPr="00B34016">
        <w:t xml:space="preserve">If any amendments are </w:t>
      </w:r>
      <w:proofErr w:type="gramStart"/>
      <w:r w:rsidRPr="00B34016">
        <w:t>made</w:t>
      </w:r>
      <w:proofErr w:type="gramEnd"/>
      <w:r w:rsidRPr="00B34016">
        <w:t xml:space="preserve"> then this should be communicated with the X-ray Departments within United Lincolnshire Hospitals NHS Trust.</w:t>
      </w:r>
    </w:p>
    <w:p w14:paraId="7E0F6D9F" w14:textId="77777777" w:rsidR="00A92215" w:rsidRPr="00B34016" w:rsidRDefault="00A92215" w:rsidP="00B34016">
      <w:pPr>
        <w:pStyle w:val="ParagrahBulletList"/>
      </w:pPr>
      <w:r w:rsidRPr="00B34016">
        <w:t>It is the responsibility of the Practice Manager to ensure that a list of approved referrers in their practice is maintained.</w:t>
      </w:r>
    </w:p>
    <w:p w14:paraId="30ED66F9" w14:textId="77777777" w:rsidR="00A92215" w:rsidRPr="00B34016" w:rsidRDefault="00A92215" w:rsidP="00B34016">
      <w:pPr>
        <w:pStyle w:val="ParagrahBulletList"/>
      </w:pPr>
      <w:r w:rsidRPr="00B34016">
        <w:t>Changes or additions to the referrers must be submitted to the Acute Trusts’ Radiology Department</w:t>
      </w:r>
      <w:r w:rsidR="007C1018">
        <w:t xml:space="preserve"> prior to referrals commencing.</w:t>
      </w:r>
    </w:p>
    <w:p w14:paraId="1E941BD3" w14:textId="77777777" w:rsidR="00A92215" w:rsidRPr="00B34016" w:rsidRDefault="00A92215" w:rsidP="00B34016">
      <w:pPr>
        <w:pStyle w:val="ParagrahBulletList"/>
      </w:pPr>
      <w:r w:rsidRPr="00B34016">
        <w:t xml:space="preserve">It is the responsibility of the </w:t>
      </w:r>
      <w:r w:rsidR="00960CD0" w:rsidRPr="00B34016">
        <w:t xml:space="preserve">Practice Manager </w:t>
      </w:r>
      <w:r w:rsidRPr="00B34016">
        <w:t>that appropriate education and training i</w:t>
      </w:r>
      <w:r w:rsidR="007C1018">
        <w:t>s undertaken by relevant staff.</w:t>
      </w:r>
    </w:p>
    <w:p w14:paraId="32FC3E6D" w14:textId="77777777" w:rsidR="00A92215" w:rsidRPr="007C1018" w:rsidRDefault="00BC026B" w:rsidP="007C1018">
      <w:pPr>
        <w:pStyle w:val="Heading1"/>
        <w:tabs>
          <w:tab w:val="clear" w:pos="567"/>
        </w:tabs>
        <w:rPr>
          <w:rFonts w:cs="Arial"/>
        </w:rPr>
      </w:pPr>
      <w:r>
        <w:br w:type="page"/>
      </w:r>
      <w:r w:rsidR="00A92215" w:rsidRPr="007C1018">
        <w:rPr>
          <w:rFonts w:cs="Arial"/>
        </w:rPr>
        <w:lastRenderedPageBreak/>
        <w:t>Chest x-ray</w:t>
      </w:r>
    </w:p>
    <w:p w14:paraId="11F3AE19" w14:textId="77777777" w:rsidR="00A92215" w:rsidRPr="00B34016" w:rsidRDefault="00A92215" w:rsidP="007C1018">
      <w:pPr>
        <w:pStyle w:val="ParagrahHeading"/>
      </w:pPr>
      <w:r w:rsidRPr="00B34016">
        <w:t xml:space="preserve">Nurse Practitioners may refer adults (over 16 years of age) for </w:t>
      </w:r>
      <w:r w:rsidR="007C1018">
        <w:t>the following indications</w:t>
      </w:r>
    </w:p>
    <w:p w14:paraId="4C6AA808" w14:textId="77777777" w:rsidR="00A92215" w:rsidRPr="00B34016" w:rsidRDefault="00A92215" w:rsidP="00B34016">
      <w:pPr>
        <w:pStyle w:val="ParagrahBulletList"/>
      </w:pPr>
      <w:r w:rsidRPr="00B34016">
        <w:t xml:space="preserve"> Persistent unexplained cough lasting more than 3 weeks as per two week wait guidelines</w:t>
      </w:r>
    </w:p>
    <w:p w14:paraId="32BD2887" w14:textId="77777777" w:rsidR="00A92215" w:rsidRPr="00B34016" w:rsidRDefault="00A92215" w:rsidP="00B34016">
      <w:pPr>
        <w:pStyle w:val="ParagrahBulletList"/>
      </w:pPr>
      <w:r w:rsidRPr="00B34016">
        <w:t xml:space="preserve"> Haemoptysis</w:t>
      </w:r>
    </w:p>
    <w:p w14:paraId="1DC892EB" w14:textId="77777777" w:rsidR="00A92215" w:rsidRPr="00B34016" w:rsidRDefault="00A92215" w:rsidP="00B34016">
      <w:pPr>
        <w:pStyle w:val="ParagrahBulletList"/>
      </w:pPr>
      <w:r w:rsidRPr="00B34016">
        <w:t xml:space="preserve"> Unexplained shortness of breath</w:t>
      </w:r>
    </w:p>
    <w:p w14:paraId="32B90CFA" w14:textId="77777777" w:rsidR="00A92215" w:rsidRPr="00B34016" w:rsidRDefault="00A92215" w:rsidP="00B34016">
      <w:pPr>
        <w:pStyle w:val="ParagrahBulletList"/>
      </w:pPr>
      <w:r w:rsidRPr="00B34016">
        <w:t xml:space="preserve"> Unexplained weight loss/night sweats</w:t>
      </w:r>
    </w:p>
    <w:p w14:paraId="003390DD" w14:textId="77777777" w:rsidR="00A92215" w:rsidRPr="00B34016" w:rsidRDefault="00A92215" w:rsidP="00B34016">
      <w:pPr>
        <w:pStyle w:val="ParagrahBulletList"/>
      </w:pPr>
      <w:r w:rsidRPr="00B34016">
        <w:t xml:space="preserve"> Hoarseness for more than 3 weeks as per two week wait guidelines</w:t>
      </w:r>
    </w:p>
    <w:p w14:paraId="5549310C" w14:textId="77777777" w:rsidR="00A92215" w:rsidRPr="00B34016" w:rsidRDefault="00A92215" w:rsidP="00B34016">
      <w:pPr>
        <w:pStyle w:val="ParagrahBulletList"/>
      </w:pPr>
      <w:r w:rsidRPr="00B34016">
        <w:t>Severe Exacerbation of COPD</w:t>
      </w:r>
    </w:p>
    <w:p w14:paraId="73EB6D21" w14:textId="77777777" w:rsidR="00A92215" w:rsidRPr="00B34016" w:rsidRDefault="00A92215" w:rsidP="00B34016">
      <w:pPr>
        <w:pStyle w:val="ParagrahBulletList"/>
      </w:pPr>
      <w:r w:rsidRPr="00B34016">
        <w:t>Suspected Pleural effusion</w:t>
      </w:r>
    </w:p>
    <w:p w14:paraId="29C67610" w14:textId="77777777" w:rsidR="00A92215" w:rsidRPr="00B34016" w:rsidRDefault="00A92215" w:rsidP="00B34016">
      <w:pPr>
        <w:pStyle w:val="ParagrahBulletList"/>
      </w:pPr>
      <w:r w:rsidRPr="00B34016">
        <w:t>Suspected TB.</w:t>
      </w:r>
    </w:p>
    <w:p w14:paraId="3DAC0D05" w14:textId="77777777" w:rsidR="00A92215" w:rsidRPr="00B34016" w:rsidRDefault="00A92215" w:rsidP="00B34016">
      <w:pPr>
        <w:pStyle w:val="ParagrahBulletList"/>
      </w:pPr>
      <w:r w:rsidRPr="00B34016">
        <w:t xml:space="preserve">Suspected inhalation of foreign body  </w:t>
      </w:r>
    </w:p>
    <w:p w14:paraId="0C7C3E0E" w14:textId="77777777" w:rsidR="00A92215" w:rsidRPr="007C1018" w:rsidRDefault="00A92215" w:rsidP="007C1018">
      <w:pPr>
        <w:pStyle w:val="ParagrahHeading"/>
      </w:pPr>
      <w:r w:rsidRPr="007C1018">
        <w:t>Exclusions</w:t>
      </w:r>
    </w:p>
    <w:p w14:paraId="15654C45" w14:textId="77777777" w:rsidR="00A92215" w:rsidRPr="00960CD0" w:rsidRDefault="00A92215" w:rsidP="00960CD0">
      <w:pPr>
        <w:pStyle w:val="ParagraphText"/>
      </w:pPr>
      <w:r w:rsidRPr="00960CD0">
        <w:t>The Nurse Practitioner(s) will not refer for chest x-ray:</w:t>
      </w:r>
    </w:p>
    <w:p w14:paraId="6A2BBAD8" w14:textId="77777777" w:rsidR="00A92215" w:rsidRPr="00960CD0" w:rsidRDefault="00A92215" w:rsidP="00B34016">
      <w:pPr>
        <w:pStyle w:val="ParagrahBulletList"/>
        <w:rPr>
          <w:color w:val="FF0000"/>
        </w:rPr>
      </w:pPr>
      <w:r w:rsidRPr="00960CD0">
        <w:rPr>
          <w:color w:val="FF0000"/>
        </w:rPr>
        <w:t>Any child under 16 – such patients shall be referred to a General Practitioner.</w:t>
      </w:r>
    </w:p>
    <w:p w14:paraId="2AABF11F" w14:textId="77777777" w:rsidR="00A92215" w:rsidRPr="00960CD0" w:rsidRDefault="00A92215" w:rsidP="00B34016">
      <w:pPr>
        <w:pStyle w:val="ParagrahBulletList"/>
        <w:rPr>
          <w:color w:val="FF0000"/>
        </w:rPr>
      </w:pPr>
      <w:r w:rsidRPr="00960CD0">
        <w:rPr>
          <w:color w:val="FF0000"/>
        </w:rPr>
        <w:t xml:space="preserve">Any female patient who is pregnant – such patients shall be referred to a General Practitioner. </w:t>
      </w:r>
    </w:p>
    <w:p w14:paraId="214E0762" w14:textId="77777777" w:rsidR="00A92215" w:rsidRPr="00960CD0" w:rsidRDefault="00A92215" w:rsidP="00B34016">
      <w:pPr>
        <w:pStyle w:val="ParagrahBulletList"/>
        <w:rPr>
          <w:color w:val="FF0000"/>
        </w:rPr>
      </w:pPr>
      <w:r w:rsidRPr="00960CD0">
        <w:rPr>
          <w:color w:val="FF0000"/>
        </w:rPr>
        <w:t>Any patient for whom acute admission would be more appropriate – such referral will be made by the Nurse Practitioner or General Practitioner.</w:t>
      </w:r>
    </w:p>
    <w:p w14:paraId="497DFB44" w14:textId="77777777" w:rsidR="00A92215" w:rsidRPr="00960CD0" w:rsidRDefault="00A92215" w:rsidP="00B34016">
      <w:pPr>
        <w:pStyle w:val="ParagrahBulletList"/>
        <w:rPr>
          <w:color w:val="FF0000"/>
        </w:rPr>
      </w:pPr>
      <w:r w:rsidRPr="00960CD0">
        <w:rPr>
          <w:color w:val="FF0000"/>
        </w:rPr>
        <w:t>Routine follow up of asthma/COPD.</w:t>
      </w:r>
    </w:p>
    <w:p w14:paraId="011D302E" w14:textId="77777777" w:rsidR="00A92215" w:rsidRPr="00960CD0" w:rsidRDefault="00A92215" w:rsidP="00B34016">
      <w:pPr>
        <w:pStyle w:val="ParagrahBulletList"/>
        <w:rPr>
          <w:color w:val="FF0000"/>
        </w:rPr>
      </w:pPr>
      <w:r w:rsidRPr="00960CD0">
        <w:rPr>
          <w:color w:val="FF0000"/>
        </w:rPr>
        <w:t>Chest trauma</w:t>
      </w:r>
    </w:p>
    <w:p w14:paraId="57CE0B55" w14:textId="77777777" w:rsidR="00A92215" w:rsidRPr="00960CD0" w:rsidRDefault="00A92215" w:rsidP="00B34016">
      <w:pPr>
        <w:pStyle w:val="ParagrahBulletList"/>
        <w:rPr>
          <w:color w:val="FF0000"/>
        </w:rPr>
      </w:pPr>
      <w:r w:rsidRPr="00960CD0">
        <w:rPr>
          <w:color w:val="FF0000"/>
        </w:rPr>
        <w:t>Simple URTI.</w:t>
      </w:r>
    </w:p>
    <w:p w14:paraId="1695A5AF" w14:textId="77777777" w:rsidR="00A92215" w:rsidRPr="00960CD0" w:rsidRDefault="00BC026B" w:rsidP="00960CD0">
      <w:pPr>
        <w:pStyle w:val="Heading1"/>
        <w:tabs>
          <w:tab w:val="clear" w:pos="567"/>
        </w:tabs>
        <w:rPr>
          <w:rFonts w:cs="Arial"/>
        </w:rPr>
      </w:pPr>
      <w:r>
        <w:br w:type="page"/>
      </w:r>
      <w:r w:rsidR="00A92215" w:rsidRPr="00960CD0">
        <w:rPr>
          <w:rFonts w:cs="Arial"/>
        </w:rPr>
        <w:lastRenderedPageBreak/>
        <w:t>X-rays of joints/bones</w:t>
      </w:r>
    </w:p>
    <w:p w14:paraId="0601D570" w14:textId="77777777" w:rsidR="00A92215" w:rsidRPr="007C1018" w:rsidRDefault="00A92215" w:rsidP="007C1018">
      <w:pPr>
        <w:pStyle w:val="ParagrahHeading"/>
      </w:pPr>
      <w:r w:rsidRPr="007C1018">
        <w:t>Nurse Practitioners may refer adults and children over the age of 5 years ol</w:t>
      </w:r>
      <w:r w:rsidR="007C1018">
        <w:t>d for the following indications</w:t>
      </w:r>
    </w:p>
    <w:tbl>
      <w:tblPr>
        <w:tblW w:w="0" w:type="auto"/>
        <w:tblLook w:val="04A0" w:firstRow="1" w:lastRow="0" w:firstColumn="1" w:lastColumn="0" w:noHBand="0" w:noVBand="1"/>
      </w:tblPr>
      <w:tblGrid>
        <w:gridCol w:w="4927"/>
        <w:gridCol w:w="4927"/>
      </w:tblGrid>
      <w:tr w:rsidR="00BC026B" w:rsidRPr="00AF5FED" w14:paraId="34DAF5C1" w14:textId="77777777" w:rsidTr="00AF5FED">
        <w:trPr>
          <w:cantSplit/>
        </w:trPr>
        <w:tc>
          <w:tcPr>
            <w:tcW w:w="4927" w:type="dxa"/>
          </w:tcPr>
          <w:p w14:paraId="0F65D945" w14:textId="77777777" w:rsidR="00BC026B" w:rsidRPr="00AF5FED" w:rsidRDefault="00BC026B" w:rsidP="00AF5FED">
            <w:pPr>
              <w:pStyle w:val="ParagraphText"/>
              <w:rPr>
                <w:b/>
              </w:rPr>
            </w:pPr>
            <w:r w:rsidRPr="00AF5FED">
              <w:rPr>
                <w:b/>
              </w:rPr>
              <w:t>Shoulder/Upper arm</w:t>
            </w:r>
          </w:p>
        </w:tc>
        <w:tc>
          <w:tcPr>
            <w:tcW w:w="4927" w:type="dxa"/>
          </w:tcPr>
          <w:p w14:paraId="514CECA7" w14:textId="77777777" w:rsidR="00BC026B" w:rsidRPr="00BC026B" w:rsidRDefault="00BC026B" w:rsidP="00AF5FED">
            <w:pPr>
              <w:pStyle w:val="ParagraphText"/>
            </w:pPr>
            <w:r w:rsidRPr="00BC026B">
              <w:t>Persistent, severe pain with reduced range of movement unresponsive to treatment after 6 weeks.</w:t>
            </w:r>
          </w:p>
          <w:p w14:paraId="0F1FB28A" w14:textId="77777777" w:rsidR="00BC026B" w:rsidRPr="00BC026B" w:rsidRDefault="00BC026B" w:rsidP="00AF5FED">
            <w:pPr>
              <w:pStyle w:val="ParagraphText"/>
            </w:pPr>
            <w:r w:rsidRPr="00BC026B">
              <w:t xml:space="preserve">Suspected cervical rib, indicated by hand/forearm pain, weakness/numbness, thenar or </w:t>
            </w:r>
            <w:proofErr w:type="spellStart"/>
            <w:r w:rsidRPr="00BC026B">
              <w:t>hyopthenar</w:t>
            </w:r>
            <w:proofErr w:type="spellEnd"/>
            <w:r w:rsidRPr="00BC026B">
              <w:t xml:space="preserve"> wasting.</w:t>
            </w:r>
          </w:p>
          <w:p w14:paraId="4E1112E0" w14:textId="77777777" w:rsidR="00BC026B" w:rsidRPr="00BC026B" w:rsidRDefault="00BC026B" w:rsidP="00AF5FED">
            <w:pPr>
              <w:pStyle w:val="ParagraphText"/>
            </w:pPr>
            <w:r w:rsidRPr="00BC026B">
              <w:t>Where osteomyelitis is suspected.</w:t>
            </w:r>
          </w:p>
          <w:p w14:paraId="000E04CE" w14:textId="77777777" w:rsidR="00BC026B" w:rsidRPr="00BC026B" w:rsidRDefault="00BC026B" w:rsidP="00AF5FED">
            <w:pPr>
              <w:pStyle w:val="ParagraphText"/>
            </w:pPr>
            <w:r w:rsidRPr="00BC026B">
              <w:t>Trauma.</w:t>
            </w:r>
          </w:p>
        </w:tc>
      </w:tr>
      <w:tr w:rsidR="00BC026B" w:rsidRPr="00AF5FED" w14:paraId="171CCFA6" w14:textId="77777777" w:rsidTr="00AF5FED">
        <w:trPr>
          <w:cantSplit/>
        </w:trPr>
        <w:tc>
          <w:tcPr>
            <w:tcW w:w="4927" w:type="dxa"/>
          </w:tcPr>
          <w:p w14:paraId="4F12B951" w14:textId="77777777" w:rsidR="00BC026B" w:rsidRPr="00AF5FED" w:rsidRDefault="00BC026B" w:rsidP="00AF5FED">
            <w:pPr>
              <w:pStyle w:val="ParagraphText"/>
              <w:rPr>
                <w:b/>
              </w:rPr>
            </w:pPr>
            <w:r w:rsidRPr="00AF5FED">
              <w:rPr>
                <w:b/>
              </w:rPr>
              <w:t>Elbow</w:t>
            </w:r>
          </w:p>
        </w:tc>
        <w:tc>
          <w:tcPr>
            <w:tcW w:w="4927" w:type="dxa"/>
          </w:tcPr>
          <w:p w14:paraId="1C5C357D" w14:textId="77777777" w:rsidR="00BC026B" w:rsidRPr="00BC026B" w:rsidRDefault="00BC026B" w:rsidP="00AF5FED">
            <w:pPr>
              <w:pStyle w:val="ParagraphText"/>
            </w:pPr>
            <w:r w:rsidRPr="00BC026B">
              <w:t>Persistent, severe pain with reduced range of movement unresponsive to treatment after 6 weeks.</w:t>
            </w:r>
          </w:p>
          <w:p w14:paraId="187CC6D1" w14:textId="77777777" w:rsidR="00BC026B" w:rsidRPr="00BC026B" w:rsidRDefault="00BC026B" w:rsidP="00AF5FED">
            <w:pPr>
              <w:pStyle w:val="ParagraphText"/>
            </w:pPr>
            <w:r w:rsidRPr="00BC026B">
              <w:t>Where osteomyelitis is suspected.</w:t>
            </w:r>
          </w:p>
          <w:p w14:paraId="05E40191" w14:textId="77777777" w:rsidR="00BC026B" w:rsidRPr="00BC026B" w:rsidRDefault="00BC026B" w:rsidP="00AF5FED">
            <w:pPr>
              <w:pStyle w:val="ParagraphText"/>
            </w:pPr>
            <w:r w:rsidRPr="00BC026B">
              <w:t xml:space="preserve">Trauma. </w:t>
            </w:r>
          </w:p>
        </w:tc>
      </w:tr>
      <w:tr w:rsidR="00BC026B" w:rsidRPr="00AF5FED" w14:paraId="5BAE5A7F" w14:textId="77777777" w:rsidTr="00AF5FED">
        <w:trPr>
          <w:cantSplit/>
        </w:trPr>
        <w:tc>
          <w:tcPr>
            <w:tcW w:w="4927" w:type="dxa"/>
          </w:tcPr>
          <w:p w14:paraId="4756E115" w14:textId="77777777" w:rsidR="00BC026B" w:rsidRPr="00AF5FED" w:rsidRDefault="00BC026B" w:rsidP="00AF5FED">
            <w:pPr>
              <w:pStyle w:val="ParagraphText"/>
              <w:rPr>
                <w:b/>
              </w:rPr>
            </w:pPr>
            <w:r w:rsidRPr="00AF5FED">
              <w:rPr>
                <w:b/>
              </w:rPr>
              <w:t>Wrist/forearm</w:t>
            </w:r>
          </w:p>
        </w:tc>
        <w:tc>
          <w:tcPr>
            <w:tcW w:w="4927" w:type="dxa"/>
          </w:tcPr>
          <w:p w14:paraId="6B05AAEF" w14:textId="77777777" w:rsidR="00BC026B" w:rsidRPr="00BC026B" w:rsidRDefault="00BC026B" w:rsidP="00AF5FED">
            <w:pPr>
              <w:pStyle w:val="ParagraphText"/>
            </w:pPr>
            <w:r w:rsidRPr="00BC026B">
              <w:t xml:space="preserve">Persistent, severe pain with reduced range of movement unresponsive to treatment after 6 weeks. </w:t>
            </w:r>
          </w:p>
          <w:p w14:paraId="537B7787" w14:textId="77777777" w:rsidR="00BC026B" w:rsidRPr="00BC026B" w:rsidRDefault="00BC026B" w:rsidP="00AF5FED">
            <w:pPr>
              <w:pStyle w:val="ParagraphText"/>
            </w:pPr>
            <w:r w:rsidRPr="00BC026B">
              <w:t>Where osteomyelitis is suspected.</w:t>
            </w:r>
          </w:p>
          <w:p w14:paraId="42A554AD" w14:textId="77777777" w:rsidR="00BC026B" w:rsidRPr="00BC026B" w:rsidRDefault="00BC026B" w:rsidP="00AF5FED">
            <w:pPr>
              <w:pStyle w:val="ParagraphText"/>
            </w:pPr>
            <w:r w:rsidRPr="00BC026B">
              <w:t>Trauma.</w:t>
            </w:r>
          </w:p>
        </w:tc>
      </w:tr>
      <w:tr w:rsidR="00BC026B" w:rsidRPr="00AF5FED" w14:paraId="5C797F33" w14:textId="77777777" w:rsidTr="00AF5FED">
        <w:trPr>
          <w:cantSplit/>
        </w:trPr>
        <w:tc>
          <w:tcPr>
            <w:tcW w:w="4927" w:type="dxa"/>
          </w:tcPr>
          <w:p w14:paraId="4AD29852" w14:textId="77777777" w:rsidR="00BC026B" w:rsidRPr="00AF5FED" w:rsidRDefault="00BC026B" w:rsidP="00AF5FED">
            <w:pPr>
              <w:pStyle w:val="ParagraphText"/>
              <w:rPr>
                <w:b/>
              </w:rPr>
            </w:pPr>
            <w:r w:rsidRPr="00AF5FED">
              <w:rPr>
                <w:b/>
              </w:rPr>
              <w:t>Hand</w:t>
            </w:r>
          </w:p>
        </w:tc>
        <w:tc>
          <w:tcPr>
            <w:tcW w:w="4927" w:type="dxa"/>
          </w:tcPr>
          <w:p w14:paraId="0C2A67FF" w14:textId="77777777" w:rsidR="00BC026B" w:rsidRPr="00BC026B" w:rsidRDefault="00BC026B" w:rsidP="00AF5FED">
            <w:pPr>
              <w:pStyle w:val="ParagraphText"/>
            </w:pPr>
            <w:r w:rsidRPr="00BC026B">
              <w:t>Persistent, severe pain with reduced range of movement unresponsive to treatment after 6 weeks.</w:t>
            </w:r>
          </w:p>
          <w:p w14:paraId="51E44BD2" w14:textId="77777777" w:rsidR="00BC026B" w:rsidRPr="00BC026B" w:rsidRDefault="00BC026B" w:rsidP="00AF5FED">
            <w:pPr>
              <w:pStyle w:val="ParagraphText"/>
            </w:pPr>
            <w:r w:rsidRPr="00BC026B">
              <w:t>Where osteomyelitis is suspected.</w:t>
            </w:r>
          </w:p>
          <w:p w14:paraId="3E3D9B3E" w14:textId="77777777" w:rsidR="00BC026B" w:rsidRPr="00BC026B" w:rsidRDefault="00BC026B" w:rsidP="00AF5FED">
            <w:pPr>
              <w:pStyle w:val="ParagraphText"/>
            </w:pPr>
            <w:r w:rsidRPr="00BC026B">
              <w:t>Trauma.</w:t>
            </w:r>
          </w:p>
        </w:tc>
      </w:tr>
      <w:tr w:rsidR="00BC026B" w:rsidRPr="00AF5FED" w14:paraId="016DA475" w14:textId="77777777" w:rsidTr="00AF5FED">
        <w:trPr>
          <w:cantSplit/>
        </w:trPr>
        <w:tc>
          <w:tcPr>
            <w:tcW w:w="4927" w:type="dxa"/>
          </w:tcPr>
          <w:p w14:paraId="3C11B406" w14:textId="77777777" w:rsidR="00BC026B" w:rsidRPr="00AF5FED" w:rsidRDefault="00BC026B" w:rsidP="00AF5FED">
            <w:pPr>
              <w:pStyle w:val="ParagraphText"/>
              <w:rPr>
                <w:b/>
              </w:rPr>
            </w:pPr>
            <w:r w:rsidRPr="00AF5FED">
              <w:rPr>
                <w:b/>
              </w:rPr>
              <w:t>Arm Soft Tissue</w:t>
            </w:r>
          </w:p>
        </w:tc>
        <w:tc>
          <w:tcPr>
            <w:tcW w:w="4927" w:type="dxa"/>
          </w:tcPr>
          <w:p w14:paraId="0E34249F" w14:textId="77777777" w:rsidR="00BC026B" w:rsidRPr="00BC026B" w:rsidRDefault="00BC026B" w:rsidP="00AF5FED">
            <w:pPr>
              <w:pStyle w:val="ParagraphText"/>
            </w:pPr>
            <w:r w:rsidRPr="00BC026B">
              <w:t>Where a radio-opaque foreign body is suspected anywhere in the arm or hand.</w:t>
            </w:r>
          </w:p>
        </w:tc>
      </w:tr>
      <w:tr w:rsidR="00BC026B" w:rsidRPr="00AF5FED" w14:paraId="34FE8969" w14:textId="77777777" w:rsidTr="00AF5FED">
        <w:trPr>
          <w:cantSplit/>
        </w:trPr>
        <w:tc>
          <w:tcPr>
            <w:tcW w:w="4927" w:type="dxa"/>
          </w:tcPr>
          <w:p w14:paraId="664AD4EC" w14:textId="77777777" w:rsidR="00BC026B" w:rsidRPr="00AF5FED" w:rsidRDefault="00BC026B" w:rsidP="00AF5FED">
            <w:pPr>
              <w:pStyle w:val="ParagraphText"/>
              <w:rPr>
                <w:b/>
              </w:rPr>
            </w:pPr>
            <w:r w:rsidRPr="00AF5FED">
              <w:rPr>
                <w:b/>
              </w:rPr>
              <w:t>Hip &amp; Pelvis</w:t>
            </w:r>
          </w:p>
        </w:tc>
        <w:tc>
          <w:tcPr>
            <w:tcW w:w="4927" w:type="dxa"/>
          </w:tcPr>
          <w:p w14:paraId="5FD75952" w14:textId="77777777" w:rsidR="00BC026B" w:rsidRPr="00BC026B" w:rsidRDefault="00BC026B" w:rsidP="00AF5FED">
            <w:pPr>
              <w:pStyle w:val="ParagraphText"/>
            </w:pPr>
            <w:r w:rsidRPr="00BC026B">
              <w:t xml:space="preserve">Persistent, severe pain with or without reduced range of movement +/- crepitus that has been unresponsive to treatment after 6 weeks. </w:t>
            </w:r>
          </w:p>
          <w:p w14:paraId="638A8032" w14:textId="77777777" w:rsidR="00BC026B" w:rsidRPr="00BC026B" w:rsidRDefault="00BC026B" w:rsidP="00AF5FED">
            <w:pPr>
              <w:pStyle w:val="ParagraphText"/>
            </w:pPr>
            <w:r w:rsidRPr="00BC026B">
              <w:t xml:space="preserve">Associated risk factors </w:t>
            </w:r>
            <w:proofErr w:type="gramStart"/>
            <w:r w:rsidRPr="00BC026B">
              <w:t>e.g.</w:t>
            </w:r>
            <w:proofErr w:type="gramEnd"/>
            <w:r w:rsidRPr="00BC026B">
              <w:t xml:space="preserve"> SLE, sickle cell, high use of steroids – exclude avascular necrosis.</w:t>
            </w:r>
          </w:p>
          <w:p w14:paraId="5364DD19" w14:textId="77777777" w:rsidR="00BC026B" w:rsidRPr="00BC026B" w:rsidRDefault="00BC026B" w:rsidP="00AF5FED">
            <w:pPr>
              <w:pStyle w:val="ParagraphText"/>
            </w:pPr>
            <w:r>
              <w:t>P</w:t>
            </w:r>
            <w:r w:rsidRPr="00BC026B">
              <w:t>ain keeping patient awake at night.</w:t>
            </w:r>
          </w:p>
          <w:p w14:paraId="5F82E73D" w14:textId="77777777" w:rsidR="00BC026B" w:rsidRPr="00BC026B" w:rsidRDefault="00BC026B" w:rsidP="00AF5FED">
            <w:pPr>
              <w:pStyle w:val="ParagraphText"/>
            </w:pPr>
            <w:r w:rsidRPr="00BC026B">
              <w:t>Where osteomyelitis is suspected.</w:t>
            </w:r>
          </w:p>
          <w:p w14:paraId="3BEE033A" w14:textId="77777777" w:rsidR="00BC026B" w:rsidRPr="00BC026B" w:rsidRDefault="00BC026B" w:rsidP="00AF5FED">
            <w:pPr>
              <w:pStyle w:val="ParagraphText"/>
            </w:pPr>
            <w:r w:rsidRPr="00BC026B">
              <w:t>Trauma.</w:t>
            </w:r>
          </w:p>
        </w:tc>
      </w:tr>
      <w:tr w:rsidR="00BC026B" w:rsidRPr="00AF5FED" w14:paraId="7634FAD8" w14:textId="77777777" w:rsidTr="00AF5FED">
        <w:trPr>
          <w:cantSplit/>
        </w:trPr>
        <w:tc>
          <w:tcPr>
            <w:tcW w:w="4927" w:type="dxa"/>
          </w:tcPr>
          <w:p w14:paraId="23EA439C" w14:textId="77777777" w:rsidR="00BC026B" w:rsidRPr="00AF5FED" w:rsidRDefault="00BC026B" w:rsidP="00AF5FED">
            <w:pPr>
              <w:pStyle w:val="ParagraphText"/>
              <w:rPr>
                <w:b/>
              </w:rPr>
            </w:pPr>
            <w:r w:rsidRPr="00AF5FED">
              <w:rPr>
                <w:b/>
              </w:rPr>
              <w:t>Thigh</w:t>
            </w:r>
          </w:p>
        </w:tc>
        <w:tc>
          <w:tcPr>
            <w:tcW w:w="4927" w:type="dxa"/>
          </w:tcPr>
          <w:p w14:paraId="6D306F91" w14:textId="77777777" w:rsidR="00BC026B" w:rsidRPr="00BC026B" w:rsidRDefault="00BC026B" w:rsidP="00AF5FED">
            <w:pPr>
              <w:pStyle w:val="ParagraphText"/>
            </w:pPr>
            <w:r w:rsidRPr="00BC026B">
              <w:t>Where osteomyelitis is suspected.</w:t>
            </w:r>
          </w:p>
        </w:tc>
      </w:tr>
      <w:tr w:rsidR="00BC026B" w:rsidRPr="00AF5FED" w14:paraId="049DA644" w14:textId="77777777" w:rsidTr="00AF5FED">
        <w:trPr>
          <w:cantSplit/>
        </w:trPr>
        <w:tc>
          <w:tcPr>
            <w:tcW w:w="4927" w:type="dxa"/>
          </w:tcPr>
          <w:p w14:paraId="69882355" w14:textId="77777777" w:rsidR="00BC026B" w:rsidRPr="00AF5FED" w:rsidRDefault="00BC026B" w:rsidP="00AF5FED">
            <w:pPr>
              <w:pStyle w:val="ParagraphText"/>
              <w:rPr>
                <w:b/>
              </w:rPr>
            </w:pPr>
            <w:r w:rsidRPr="00AF5FED">
              <w:rPr>
                <w:b/>
              </w:rPr>
              <w:lastRenderedPageBreak/>
              <w:t>Knee</w:t>
            </w:r>
          </w:p>
        </w:tc>
        <w:tc>
          <w:tcPr>
            <w:tcW w:w="4927" w:type="dxa"/>
          </w:tcPr>
          <w:p w14:paraId="26C05F41" w14:textId="77777777" w:rsidR="00BC026B" w:rsidRPr="00BC026B" w:rsidRDefault="00BC026B" w:rsidP="00AF5FED">
            <w:pPr>
              <w:pStyle w:val="ParagraphText"/>
            </w:pPr>
            <w:r w:rsidRPr="00BC026B">
              <w:t xml:space="preserve">Persistent, severe pain with or without reduced range of movement +/- crepitus that has been unresponsive to treatment after 6 weeks. </w:t>
            </w:r>
          </w:p>
          <w:p w14:paraId="3D12FF41" w14:textId="77777777" w:rsidR="00BC026B" w:rsidRPr="00BC026B" w:rsidRDefault="00BC026B" w:rsidP="00AF5FED">
            <w:pPr>
              <w:pStyle w:val="ParagraphText"/>
            </w:pPr>
            <w:r w:rsidRPr="00BC026B">
              <w:t>Pain keeping patient awake at night.</w:t>
            </w:r>
          </w:p>
          <w:p w14:paraId="1CD734C3" w14:textId="77777777" w:rsidR="00BC026B" w:rsidRPr="00BC026B" w:rsidRDefault="00BC026B" w:rsidP="00AF5FED">
            <w:pPr>
              <w:pStyle w:val="ParagraphText"/>
            </w:pPr>
            <w:r w:rsidRPr="00BC026B">
              <w:t>Where osteomyelitis is suspected.</w:t>
            </w:r>
          </w:p>
          <w:p w14:paraId="070FCFA5" w14:textId="77777777" w:rsidR="00BC026B" w:rsidRPr="00BC026B" w:rsidRDefault="00BC026B" w:rsidP="00AF5FED">
            <w:pPr>
              <w:pStyle w:val="ParagraphText"/>
            </w:pPr>
            <w:r w:rsidRPr="00BC026B">
              <w:t xml:space="preserve">Trauma. </w:t>
            </w:r>
            <w:proofErr w:type="gramStart"/>
            <w:r w:rsidRPr="00BC026B">
              <w:t>N:B</w:t>
            </w:r>
            <w:proofErr w:type="gramEnd"/>
            <w:r w:rsidRPr="00BC026B">
              <w:t xml:space="preserve">: in trauma </w:t>
            </w:r>
            <w:proofErr w:type="spellStart"/>
            <w:r w:rsidRPr="00BC026B">
              <w:t>Ottowa</w:t>
            </w:r>
            <w:proofErr w:type="spellEnd"/>
            <w:r w:rsidRPr="00BC026B">
              <w:t xml:space="preserve"> Knee rules (</w:t>
            </w:r>
            <w:proofErr w:type="spellStart"/>
            <w:r w:rsidRPr="00BC026B">
              <w:t>Stiell</w:t>
            </w:r>
            <w:proofErr w:type="spellEnd"/>
            <w:r w:rsidRPr="00BC026B">
              <w:t xml:space="preserve"> et al 1997) apply.</w:t>
            </w:r>
          </w:p>
        </w:tc>
      </w:tr>
      <w:tr w:rsidR="00BC026B" w:rsidRPr="00AF5FED" w14:paraId="50066581" w14:textId="77777777" w:rsidTr="00AF5FED">
        <w:trPr>
          <w:cantSplit/>
        </w:trPr>
        <w:tc>
          <w:tcPr>
            <w:tcW w:w="4927" w:type="dxa"/>
          </w:tcPr>
          <w:p w14:paraId="2F003075" w14:textId="77777777" w:rsidR="00BC026B" w:rsidRPr="00AF5FED" w:rsidRDefault="00BC026B" w:rsidP="00AF5FED">
            <w:pPr>
              <w:pStyle w:val="ParagraphText"/>
              <w:rPr>
                <w:b/>
              </w:rPr>
            </w:pPr>
            <w:r w:rsidRPr="00AF5FED">
              <w:rPr>
                <w:b/>
              </w:rPr>
              <w:t>Lower leg</w:t>
            </w:r>
          </w:p>
        </w:tc>
        <w:tc>
          <w:tcPr>
            <w:tcW w:w="4927" w:type="dxa"/>
          </w:tcPr>
          <w:p w14:paraId="354FC35C" w14:textId="77777777" w:rsidR="00BC026B" w:rsidRPr="00BC026B" w:rsidRDefault="00BC026B" w:rsidP="00AF5FED">
            <w:pPr>
              <w:pStyle w:val="ParagraphText"/>
            </w:pPr>
            <w:r w:rsidRPr="00BC026B">
              <w:t>Where osteomyelitis is suspected</w:t>
            </w:r>
          </w:p>
        </w:tc>
      </w:tr>
      <w:tr w:rsidR="00BC026B" w:rsidRPr="00AF5FED" w14:paraId="7B267E00" w14:textId="77777777" w:rsidTr="00AF5FED">
        <w:trPr>
          <w:cantSplit/>
        </w:trPr>
        <w:tc>
          <w:tcPr>
            <w:tcW w:w="4927" w:type="dxa"/>
          </w:tcPr>
          <w:p w14:paraId="2070F1D6" w14:textId="77777777" w:rsidR="00BC026B" w:rsidRPr="00AF5FED" w:rsidRDefault="00BC026B" w:rsidP="00AF5FED">
            <w:pPr>
              <w:pStyle w:val="ParagraphText"/>
              <w:rPr>
                <w:b/>
              </w:rPr>
            </w:pPr>
            <w:r w:rsidRPr="00AF5FED">
              <w:rPr>
                <w:b/>
              </w:rPr>
              <w:t>Ankle/Foot</w:t>
            </w:r>
          </w:p>
        </w:tc>
        <w:tc>
          <w:tcPr>
            <w:tcW w:w="4927" w:type="dxa"/>
          </w:tcPr>
          <w:p w14:paraId="27FA6EC4" w14:textId="77777777" w:rsidR="00BC026B" w:rsidRPr="00BC026B" w:rsidRDefault="00BC026B" w:rsidP="00AF5FED">
            <w:pPr>
              <w:pStyle w:val="ParagraphText"/>
            </w:pPr>
            <w:r w:rsidRPr="00BC026B">
              <w:t xml:space="preserve">Persistent, severe pain with or without reduced range of movement +/- crepitus that has been unresponsive to treatment after 6 weeks. </w:t>
            </w:r>
          </w:p>
          <w:p w14:paraId="4D782EBE" w14:textId="77777777" w:rsidR="00BC026B" w:rsidRPr="00BC026B" w:rsidRDefault="00BC026B" w:rsidP="00AF5FED">
            <w:pPr>
              <w:pStyle w:val="ParagraphText"/>
            </w:pPr>
            <w:r w:rsidRPr="00BC026B">
              <w:t>Pain keeping patient awake at night.</w:t>
            </w:r>
          </w:p>
          <w:p w14:paraId="16A60B30" w14:textId="77777777" w:rsidR="00BC026B" w:rsidRPr="00BC026B" w:rsidRDefault="00BC026B" w:rsidP="00AF5FED">
            <w:pPr>
              <w:pStyle w:val="ParagraphText"/>
            </w:pPr>
            <w:r w:rsidRPr="00BC026B">
              <w:t xml:space="preserve">Where osteomyelitis is suspected. </w:t>
            </w:r>
          </w:p>
          <w:p w14:paraId="7B07F3F2" w14:textId="77777777" w:rsidR="00BC026B" w:rsidRPr="00BC026B" w:rsidRDefault="00BC026B" w:rsidP="00AF5FED">
            <w:pPr>
              <w:pStyle w:val="ParagraphText"/>
            </w:pPr>
            <w:r w:rsidRPr="00BC026B">
              <w:t xml:space="preserve">Trauma. </w:t>
            </w:r>
            <w:proofErr w:type="gramStart"/>
            <w:r w:rsidRPr="00BC026B">
              <w:t>N:B</w:t>
            </w:r>
            <w:proofErr w:type="gramEnd"/>
            <w:r w:rsidRPr="00BC026B">
              <w:t xml:space="preserve">: In trauma  </w:t>
            </w:r>
            <w:proofErr w:type="spellStart"/>
            <w:r w:rsidRPr="00BC026B">
              <w:t>Ottowa</w:t>
            </w:r>
            <w:proofErr w:type="spellEnd"/>
            <w:r w:rsidRPr="00BC026B">
              <w:t xml:space="preserve"> ankle rules (</w:t>
            </w:r>
            <w:proofErr w:type="spellStart"/>
            <w:r w:rsidRPr="00BC026B">
              <w:t>Stiell</w:t>
            </w:r>
            <w:proofErr w:type="spellEnd"/>
            <w:r w:rsidRPr="00BC026B">
              <w:t xml:space="preserve"> et al 1994) apply. </w:t>
            </w:r>
          </w:p>
        </w:tc>
      </w:tr>
      <w:tr w:rsidR="00BC026B" w:rsidRPr="00AF5FED" w14:paraId="2B2F6F93" w14:textId="77777777" w:rsidTr="00AF5FED">
        <w:trPr>
          <w:cantSplit/>
        </w:trPr>
        <w:tc>
          <w:tcPr>
            <w:tcW w:w="4927" w:type="dxa"/>
          </w:tcPr>
          <w:p w14:paraId="0EBCC635" w14:textId="77777777" w:rsidR="00BC026B" w:rsidRPr="00AF5FED" w:rsidRDefault="00BC026B" w:rsidP="00AF5FED">
            <w:pPr>
              <w:pStyle w:val="ParagraphText"/>
              <w:rPr>
                <w:b/>
              </w:rPr>
            </w:pPr>
            <w:r w:rsidRPr="00AF5FED">
              <w:rPr>
                <w:b/>
              </w:rPr>
              <w:t>Leg Soft Tissue</w:t>
            </w:r>
          </w:p>
        </w:tc>
        <w:tc>
          <w:tcPr>
            <w:tcW w:w="4927" w:type="dxa"/>
          </w:tcPr>
          <w:p w14:paraId="7B0C8AA2" w14:textId="77777777" w:rsidR="00BC026B" w:rsidRPr="00BC026B" w:rsidRDefault="00BC026B" w:rsidP="00AF5FED">
            <w:pPr>
              <w:pStyle w:val="ParagraphText"/>
            </w:pPr>
            <w:r w:rsidRPr="00BC026B">
              <w:t>Where a radio-opaque foreign body is suspected anywhere in the leg/foot.</w:t>
            </w:r>
          </w:p>
        </w:tc>
      </w:tr>
    </w:tbl>
    <w:p w14:paraId="55D824A8" w14:textId="77777777" w:rsidR="00A92215" w:rsidRPr="00B34016" w:rsidRDefault="007C1018" w:rsidP="00B34016">
      <w:pPr>
        <w:pStyle w:val="ParagrahHeading"/>
      </w:pPr>
      <w:r>
        <w:t>Exclusions</w:t>
      </w:r>
    </w:p>
    <w:p w14:paraId="60031B18" w14:textId="77777777" w:rsidR="00A92215" w:rsidRPr="00960CD0" w:rsidRDefault="00A92215" w:rsidP="00960CD0">
      <w:pPr>
        <w:pStyle w:val="ParagraphText"/>
      </w:pPr>
      <w:r w:rsidRPr="00960CD0">
        <w:t>The Nurse Practitioner(s) will not refer for x-ray of bones/joints/soft tissue of limbs</w:t>
      </w:r>
    </w:p>
    <w:p w14:paraId="72334E4B" w14:textId="77777777" w:rsidR="00A92215" w:rsidRPr="00960CD0" w:rsidRDefault="00A92215" w:rsidP="00BC026B">
      <w:pPr>
        <w:pStyle w:val="ParagrahBulletList"/>
        <w:rPr>
          <w:color w:val="FF0000"/>
        </w:rPr>
      </w:pPr>
      <w:r w:rsidRPr="00960CD0">
        <w:rPr>
          <w:color w:val="FF0000"/>
        </w:rPr>
        <w:t>Any child under 5 years old – such patients should be referred to a General Practitioner</w:t>
      </w:r>
    </w:p>
    <w:p w14:paraId="354F86A3" w14:textId="77777777" w:rsidR="00A92215" w:rsidRPr="00960CD0" w:rsidRDefault="00A92215" w:rsidP="00BC026B">
      <w:pPr>
        <w:pStyle w:val="ParagrahBulletList"/>
        <w:rPr>
          <w:color w:val="FF0000"/>
        </w:rPr>
      </w:pPr>
      <w:r w:rsidRPr="00960CD0">
        <w:rPr>
          <w:color w:val="FF0000"/>
        </w:rPr>
        <w:t>Any female who is pregnant – such patients should be referred to a General Practitioner</w:t>
      </w:r>
    </w:p>
    <w:p w14:paraId="46ECEA90" w14:textId="77777777" w:rsidR="00A92215" w:rsidRPr="00960CD0" w:rsidRDefault="00A92215" w:rsidP="00BC026B">
      <w:pPr>
        <w:pStyle w:val="ParagrahBulletList"/>
        <w:rPr>
          <w:color w:val="FF0000"/>
        </w:rPr>
      </w:pPr>
      <w:r w:rsidRPr="00960CD0">
        <w:rPr>
          <w:color w:val="FF0000"/>
        </w:rPr>
        <w:t xml:space="preserve">In acute trauma if it is more appropriate to refer directly to A&amp;E then this referral will be </w:t>
      </w:r>
      <w:r w:rsidR="007C1018" w:rsidRPr="00960CD0">
        <w:rPr>
          <w:color w:val="FF0000"/>
        </w:rPr>
        <w:t>made by the Nurse Practitioner.</w:t>
      </w:r>
    </w:p>
    <w:p w14:paraId="09EF7DDE" w14:textId="77777777" w:rsidR="007A7422" w:rsidRDefault="00BC026B" w:rsidP="007A7422">
      <w:pPr>
        <w:pStyle w:val="Heading1"/>
        <w:tabs>
          <w:tab w:val="clear" w:pos="567"/>
        </w:tabs>
      </w:pPr>
      <w:r>
        <w:br w:type="page"/>
      </w:r>
      <w:r w:rsidR="00A92215" w:rsidRPr="003B09F2">
        <w:lastRenderedPageBreak/>
        <w:t xml:space="preserve"> </w:t>
      </w:r>
    </w:p>
    <w:p w14:paraId="43BC622C" w14:textId="77777777" w:rsidR="007A7422" w:rsidRDefault="007A7422" w:rsidP="007A7422">
      <w:pPr>
        <w:pStyle w:val="ParagrahBulletList"/>
        <w:numPr>
          <w:ilvl w:val="0"/>
          <w:numId w:val="0"/>
        </w:numPr>
        <w:ind w:left="567"/>
      </w:pPr>
    </w:p>
    <w:p w14:paraId="2D0F187D" w14:textId="77777777" w:rsidR="00C15891" w:rsidRDefault="00C15891" w:rsidP="007A7422">
      <w:pPr>
        <w:pStyle w:val="ParagrahBulletList"/>
        <w:numPr>
          <w:ilvl w:val="0"/>
          <w:numId w:val="0"/>
        </w:numPr>
        <w:ind w:left="567"/>
      </w:pPr>
      <w:r>
        <w:t>Protocol approved by</w:t>
      </w:r>
    </w:p>
    <w:tbl>
      <w:tblPr>
        <w:tblW w:w="0" w:type="auto"/>
        <w:tblInd w:w="108" w:type="dxa"/>
        <w:tblLook w:val="0000" w:firstRow="0" w:lastRow="0" w:firstColumn="0" w:lastColumn="0" w:noHBand="0" w:noVBand="0"/>
      </w:tblPr>
      <w:tblGrid>
        <w:gridCol w:w="2457"/>
        <w:gridCol w:w="5957"/>
      </w:tblGrid>
      <w:tr w:rsidR="00C15891" w14:paraId="48FF40FD" w14:textId="77777777" w:rsidTr="00AF5FED">
        <w:trPr>
          <w:trHeight w:val="567"/>
        </w:trPr>
        <w:tc>
          <w:tcPr>
            <w:tcW w:w="2457" w:type="dxa"/>
            <w:vAlign w:val="bottom"/>
          </w:tcPr>
          <w:p w14:paraId="372B3978" w14:textId="77777777" w:rsidR="00C15891" w:rsidRDefault="00C15891" w:rsidP="00AF5FED">
            <w:pPr>
              <w:pStyle w:val="ParagraphText"/>
            </w:pPr>
            <w:r>
              <w:t>Signature</w:t>
            </w:r>
          </w:p>
        </w:tc>
        <w:tc>
          <w:tcPr>
            <w:tcW w:w="5957" w:type="dxa"/>
            <w:tcBorders>
              <w:top w:val="nil"/>
              <w:left w:val="nil"/>
              <w:bottom w:val="single" w:sz="4" w:space="0" w:color="auto"/>
              <w:right w:val="nil"/>
            </w:tcBorders>
            <w:vAlign w:val="bottom"/>
          </w:tcPr>
          <w:p w14:paraId="10488411" w14:textId="77777777" w:rsidR="00C15891" w:rsidRDefault="00C15891" w:rsidP="00AF5FED">
            <w:pPr>
              <w:pStyle w:val="ParagraphText"/>
            </w:pPr>
          </w:p>
        </w:tc>
      </w:tr>
      <w:tr w:rsidR="00C15891" w14:paraId="553879F4" w14:textId="77777777" w:rsidTr="00AF5FED">
        <w:trPr>
          <w:trHeight w:val="567"/>
        </w:trPr>
        <w:tc>
          <w:tcPr>
            <w:tcW w:w="2457" w:type="dxa"/>
            <w:vAlign w:val="bottom"/>
          </w:tcPr>
          <w:p w14:paraId="036D0853" w14:textId="77777777" w:rsidR="00C15891" w:rsidRDefault="00C15891" w:rsidP="00AF5FED">
            <w:pPr>
              <w:pStyle w:val="ParagraphText"/>
            </w:pPr>
            <w:r>
              <w:t>Name</w:t>
            </w:r>
          </w:p>
        </w:tc>
        <w:tc>
          <w:tcPr>
            <w:tcW w:w="5957" w:type="dxa"/>
            <w:tcBorders>
              <w:top w:val="nil"/>
              <w:left w:val="nil"/>
              <w:bottom w:val="single" w:sz="4" w:space="0" w:color="auto"/>
              <w:right w:val="nil"/>
            </w:tcBorders>
            <w:vAlign w:val="bottom"/>
          </w:tcPr>
          <w:p w14:paraId="08E50689" w14:textId="77777777" w:rsidR="00C15891" w:rsidRDefault="00C15891" w:rsidP="00AF5FED">
            <w:pPr>
              <w:pStyle w:val="ParagraphText"/>
            </w:pPr>
          </w:p>
        </w:tc>
      </w:tr>
      <w:tr w:rsidR="00C15891" w14:paraId="24E75F0D" w14:textId="77777777" w:rsidTr="00AF5FED">
        <w:trPr>
          <w:trHeight w:val="567"/>
        </w:trPr>
        <w:tc>
          <w:tcPr>
            <w:tcW w:w="2457" w:type="dxa"/>
            <w:vAlign w:val="bottom"/>
          </w:tcPr>
          <w:p w14:paraId="72AB6AB7" w14:textId="77777777" w:rsidR="00C15891" w:rsidRDefault="00C15891" w:rsidP="00AF5FED">
            <w:pPr>
              <w:pStyle w:val="ParagraphText"/>
            </w:pPr>
            <w:r>
              <w:t>Role</w:t>
            </w:r>
          </w:p>
        </w:tc>
        <w:tc>
          <w:tcPr>
            <w:tcW w:w="5957" w:type="dxa"/>
            <w:tcBorders>
              <w:top w:val="nil"/>
              <w:left w:val="nil"/>
              <w:bottom w:val="single" w:sz="4" w:space="0" w:color="auto"/>
              <w:right w:val="nil"/>
            </w:tcBorders>
            <w:vAlign w:val="bottom"/>
          </w:tcPr>
          <w:p w14:paraId="3529EFF5" w14:textId="77777777" w:rsidR="00C15891" w:rsidRDefault="00C15891" w:rsidP="00AF5FED">
            <w:pPr>
              <w:pStyle w:val="ParagraphText"/>
            </w:pPr>
          </w:p>
        </w:tc>
      </w:tr>
      <w:tr w:rsidR="00C15891" w14:paraId="6CA6E1D7" w14:textId="77777777" w:rsidTr="00AF5FED">
        <w:trPr>
          <w:trHeight w:val="567"/>
        </w:trPr>
        <w:tc>
          <w:tcPr>
            <w:tcW w:w="2457" w:type="dxa"/>
            <w:vAlign w:val="bottom"/>
          </w:tcPr>
          <w:p w14:paraId="5B362F6B" w14:textId="77777777" w:rsidR="00C15891" w:rsidRDefault="00C15891" w:rsidP="00AF5FED">
            <w:pPr>
              <w:pStyle w:val="ParagraphText"/>
            </w:pPr>
            <w:r>
              <w:t>Date</w:t>
            </w:r>
          </w:p>
        </w:tc>
        <w:tc>
          <w:tcPr>
            <w:tcW w:w="5957" w:type="dxa"/>
            <w:tcBorders>
              <w:top w:val="single" w:sz="4" w:space="0" w:color="auto"/>
              <w:left w:val="nil"/>
              <w:bottom w:val="single" w:sz="4" w:space="0" w:color="auto"/>
              <w:right w:val="nil"/>
            </w:tcBorders>
            <w:vAlign w:val="bottom"/>
          </w:tcPr>
          <w:p w14:paraId="48C5F077" w14:textId="77777777" w:rsidR="00C15891" w:rsidRDefault="00C15891" w:rsidP="00C15891">
            <w:pPr>
              <w:pStyle w:val="ParagraphText"/>
            </w:pPr>
          </w:p>
        </w:tc>
      </w:tr>
      <w:tr w:rsidR="00C15891" w14:paraId="01961E54" w14:textId="77777777" w:rsidTr="00AF5FED">
        <w:trPr>
          <w:trHeight w:val="567"/>
        </w:trPr>
        <w:tc>
          <w:tcPr>
            <w:tcW w:w="2457" w:type="dxa"/>
            <w:vAlign w:val="bottom"/>
          </w:tcPr>
          <w:p w14:paraId="5932E26D" w14:textId="77777777" w:rsidR="00C15891" w:rsidRDefault="00C15891" w:rsidP="00AF5FED">
            <w:pPr>
              <w:pStyle w:val="ParagraphText"/>
            </w:pPr>
          </w:p>
        </w:tc>
        <w:tc>
          <w:tcPr>
            <w:tcW w:w="5957" w:type="dxa"/>
            <w:tcBorders>
              <w:top w:val="single" w:sz="4" w:space="0" w:color="auto"/>
              <w:left w:val="nil"/>
              <w:bottom w:val="single" w:sz="4" w:space="0" w:color="auto"/>
              <w:right w:val="nil"/>
            </w:tcBorders>
            <w:vAlign w:val="bottom"/>
          </w:tcPr>
          <w:p w14:paraId="10254A0A" w14:textId="77777777" w:rsidR="00C15891" w:rsidRDefault="00C15891" w:rsidP="00110827">
            <w:pPr>
              <w:pStyle w:val="ParagraphText"/>
            </w:pPr>
          </w:p>
        </w:tc>
      </w:tr>
    </w:tbl>
    <w:p w14:paraId="771634EF" w14:textId="77777777" w:rsidR="00B0068C" w:rsidRPr="00876F15" w:rsidRDefault="00A92215" w:rsidP="00B0068C">
      <w:pPr>
        <w:pStyle w:val="Heading1"/>
        <w:tabs>
          <w:tab w:val="clear" w:pos="567"/>
        </w:tabs>
        <w:rPr>
          <w:rFonts w:cs="Arial"/>
        </w:rPr>
      </w:pPr>
      <w:r>
        <w:rPr>
          <w:rFonts w:cs="Arial"/>
          <w:b w:val="0"/>
          <w:color w:val="000000"/>
        </w:rPr>
        <w:br w:type="page"/>
      </w:r>
      <w:r w:rsidR="007A7422">
        <w:rPr>
          <w:rFonts w:cs="Arial"/>
        </w:rPr>
        <w:lastRenderedPageBreak/>
        <w:t xml:space="preserve"> </w:t>
      </w:r>
    </w:p>
    <w:p w14:paraId="29F9AC6A" w14:textId="77777777" w:rsidR="00B0068C" w:rsidRDefault="00B0068C" w:rsidP="00B0068C">
      <w:pPr>
        <w:pStyle w:val="Heading1"/>
        <w:tabs>
          <w:tab w:val="clear" w:pos="567"/>
        </w:tabs>
        <w:rPr>
          <w:rFonts w:cs="Arial"/>
        </w:rPr>
      </w:pPr>
      <w:r>
        <w:rPr>
          <w:rFonts w:cs="Arial"/>
        </w:rPr>
        <w:t>APPENDIX A TO NURSE PRACTITIONER</w:t>
      </w:r>
    </w:p>
    <w:p w14:paraId="6A5819A0" w14:textId="77777777" w:rsidR="00B0068C" w:rsidRDefault="00B0068C" w:rsidP="00B0068C">
      <w:pPr>
        <w:pStyle w:val="Heading1"/>
        <w:tabs>
          <w:tab w:val="clear" w:pos="567"/>
        </w:tabs>
        <w:rPr>
          <w:rFonts w:cs="Arial"/>
        </w:rPr>
      </w:pPr>
      <w:r>
        <w:rPr>
          <w:rFonts w:cs="Arial"/>
        </w:rPr>
        <w:t>REFERRAL FOR X-RAYS PROTOCOL</w:t>
      </w:r>
    </w:p>
    <w:tbl>
      <w:tblPr>
        <w:tblW w:w="0" w:type="auto"/>
        <w:tblLook w:val="04A0" w:firstRow="1" w:lastRow="0" w:firstColumn="1" w:lastColumn="0" w:noHBand="0" w:noVBand="1"/>
      </w:tblPr>
      <w:tblGrid>
        <w:gridCol w:w="3284"/>
        <w:gridCol w:w="3285"/>
        <w:gridCol w:w="3285"/>
      </w:tblGrid>
      <w:tr w:rsidR="00B0068C" w14:paraId="2153E895" w14:textId="77777777" w:rsidTr="00AF5FED">
        <w:trPr>
          <w:trHeight w:val="567"/>
        </w:trPr>
        <w:tc>
          <w:tcPr>
            <w:tcW w:w="9854" w:type="dxa"/>
            <w:gridSpan w:val="3"/>
            <w:vAlign w:val="bottom"/>
          </w:tcPr>
          <w:p w14:paraId="50DBF507" w14:textId="77777777" w:rsidR="00B0068C" w:rsidRDefault="00B0068C" w:rsidP="00B0068C">
            <w:pPr>
              <w:pStyle w:val="ParagraphText"/>
            </w:pPr>
            <w:r w:rsidRPr="00B0068C">
              <w:t>Application for a Nurse Practitioner to be approved to refer patients for plain film X-rays &amp; Ultrasound investigations as per the practice protocol</w:t>
            </w:r>
          </w:p>
        </w:tc>
      </w:tr>
      <w:tr w:rsidR="00B0068C" w14:paraId="4F3A199C" w14:textId="77777777" w:rsidTr="00AF5FED">
        <w:trPr>
          <w:trHeight w:val="567"/>
        </w:trPr>
        <w:tc>
          <w:tcPr>
            <w:tcW w:w="3284" w:type="dxa"/>
            <w:vAlign w:val="bottom"/>
          </w:tcPr>
          <w:p w14:paraId="2B0E6A35" w14:textId="77777777" w:rsidR="00B0068C" w:rsidRDefault="00B0068C" w:rsidP="00B0068C">
            <w:pPr>
              <w:pStyle w:val="ParagraphText"/>
            </w:pPr>
            <w:r w:rsidRPr="00B0068C">
              <w:t>Name of Nurse Practitioner</w:t>
            </w:r>
          </w:p>
        </w:tc>
        <w:tc>
          <w:tcPr>
            <w:tcW w:w="3285" w:type="dxa"/>
            <w:tcBorders>
              <w:bottom w:val="single" w:sz="4" w:space="0" w:color="auto"/>
            </w:tcBorders>
            <w:vAlign w:val="bottom"/>
          </w:tcPr>
          <w:p w14:paraId="630D3111" w14:textId="77777777" w:rsidR="00B0068C" w:rsidRDefault="00B0068C" w:rsidP="00B0068C">
            <w:pPr>
              <w:pStyle w:val="ParagraphText"/>
            </w:pPr>
          </w:p>
        </w:tc>
        <w:tc>
          <w:tcPr>
            <w:tcW w:w="3285" w:type="dxa"/>
            <w:vAlign w:val="bottom"/>
          </w:tcPr>
          <w:p w14:paraId="0C2053C3" w14:textId="77777777" w:rsidR="00B0068C" w:rsidRDefault="00B0068C" w:rsidP="00B0068C">
            <w:pPr>
              <w:pStyle w:val="ParagraphText"/>
            </w:pPr>
          </w:p>
        </w:tc>
      </w:tr>
      <w:tr w:rsidR="00B0068C" w14:paraId="0E343538" w14:textId="77777777" w:rsidTr="00AF5FED">
        <w:trPr>
          <w:trHeight w:val="284"/>
        </w:trPr>
        <w:tc>
          <w:tcPr>
            <w:tcW w:w="3284" w:type="dxa"/>
          </w:tcPr>
          <w:p w14:paraId="02F5513D" w14:textId="77777777" w:rsidR="00B0068C" w:rsidRPr="00B0068C" w:rsidRDefault="00B0068C" w:rsidP="00B0068C">
            <w:pPr>
              <w:pStyle w:val="ParagraphText"/>
            </w:pPr>
          </w:p>
        </w:tc>
        <w:tc>
          <w:tcPr>
            <w:tcW w:w="6570" w:type="dxa"/>
            <w:gridSpan w:val="2"/>
          </w:tcPr>
          <w:p w14:paraId="183A434A" w14:textId="77777777" w:rsidR="00B0068C" w:rsidRDefault="00B0068C" w:rsidP="00AF5FED">
            <w:pPr>
              <w:pStyle w:val="ParagraphText"/>
              <w:spacing w:after="0"/>
            </w:pPr>
          </w:p>
        </w:tc>
      </w:tr>
      <w:tr w:rsidR="00B0068C" w14:paraId="7CD2ADD6" w14:textId="77777777" w:rsidTr="00AF5FED">
        <w:trPr>
          <w:trHeight w:val="567"/>
        </w:trPr>
        <w:tc>
          <w:tcPr>
            <w:tcW w:w="3284" w:type="dxa"/>
          </w:tcPr>
          <w:p w14:paraId="03EA6CD4" w14:textId="77777777" w:rsidR="000432E5" w:rsidRDefault="00B0068C" w:rsidP="00B0068C">
            <w:pPr>
              <w:pStyle w:val="ParagraphText"/>
            </w:pPr>
            <w:r w:rsidRPr="00B0068C">
              <w:t>Work Address</w:t>
            </w:r>
            <w:r w:rsidR="000432E5">
              <w:t xml:space="preserve"> </w:t>
            </w:r>
          </w:p>
          <w:p w14:paraId="535DBF6E" w14:textId="77777777" w:rsidR="000432E5" w:rsidRDefault="000432E5" w:rsidP="000432E5">
            <w:pPr>
              <w:pStyle w:val="ParagraphText"/>
            </w:pPr>
          </w:p>
        </w:tc>
        <w:tc>
          <w:tcPr>
            <w:tcW w:w="6570" w:type="dxa"/>
            <w:gridSpan w:val="2"/>
          </w:tcPr>
          <w:p w14:paraId="4E85C490" w14:textId="77777777" w:rsidR="00B0068C" w:rsidRDefault="00B0068C" w:rsidP="00AF5FED">
            <w:pPr>
              <w:pStyle w:val="ParagraphText"/>
              <w:spacing w:after="0"/>
            </w:pPr>
          </w:p>
        </w:tc>
      </w:tr>
      <w:tr w:rsidR="00B0068C" w14:paraId="2E7872E2" w14:textId="77777777" w:rsidTr="00AF5FED">
        <w:trPr>
          <w:trHeight w:val="284"/>
        </w:trPr>
        <w:tc>
          <w:tcPr>
            <w:tcW w:w="3284" w:type="dxa"/>
            <w:vAlign w:val="bottom"/>
          </w:tcPr>
          <w:p w14:paraId="3963EFAA" w14:textId="77777777" w:rsidR="00B0068C" w:rsidRPr="00B0068C" w:rsidRDefault="00B0068C" w:rsidP="00B0068C">
            <w:pPr>
              <w:pStyle w:val="ParagraphText"/>
            </w:pPr>
          </w:p>
        </w:tc>
        <w:tc>
          <w:tcPr>
            <w:tcW w:w="3285" w:type="dxa"/>
            <w:vAlign w:val="bottom"/>
          </w:tcPr>
          <w:p w14:paraId="49EE2F97" w14:textId="77777777" w:rsidR="00B0068C" w:rsidRDefault="00B0068C" w:rsidP="00B0068C">
            <w:pPr>
              <w:pStyle w:val="ParagraphText"/>
            </w:pPr>
          </w:p>
        </w:tc>
        <w:tc>
          <w:tcPr>
            <w:tcW w:w="3285" w:type="dxa"/>
            <w:vAlign w:val="bottom"/>
          </w:tcPr>
          <w:p w14:paraId="51A47DBC" w14:textId="77777777" w:rsidR="00B0068C" w:rsidRDefault="00B0068C" w:rsidP="00B0068C">
            <w:pPr>
              <w:pStyle w:val="ParagraphText"/>
            </w:pPr>
          </w:p>
        </w:tc>
      </w:tr>
      <w:tr w:rsidR="00B0068C" w14:paraId="0EA82FBA" w14:textId="77777777" w:rsidTr="00AF5FED">
        <w:trPr>
          <w:trHeight w:val="567"/>
        </w:trPr>
        <w:tc>
          <w:tcPr>
            <w:tcW w:w="3284" w:type="dxa"/>
            <w:vAlign w:val="center"/>
          </w:tcPr>
          <w:p w14:paraId="5DDC1CEB" w14:textId="77777777" w:rsidR="00B0068C" w:rsidRDefault="00B0068C" w:rsidP="00110827">
            <w:pPr>
              <w:pStyle w:val="ParagraphText"/>
            </w:pPr>
            <w:r w:rsidRPr="00B0068C">
              <w:t>Work Telephone Number</w:t>
            </w:r>
            <w:r w:rsidR="000432E5">
              <w:t xml:space="preserve"> </w:t>
            </w:r>
          </w:p>
        </w:tc>
        <w:tc>
          <w:tcPr>
            <w:tcW w:w="3285" w:type="dxa"/>
            <w:vAlign w:val="center"/>
          </w:tcPr>
          <w:p w14:paraId="604E54E3" w14:textId="77777777" w:rsidR="00B0068C" w:rsidRDefault="00B0068C" w:rsidP="00B0068C">
            <w:pPr>
              <w:pStyle w:val="ParagraphText"/>
            </w:pPr>
          </w:p>
        </w:tc>
        <w:tc>
          <w:tcPr>
            <w:tcW w:w="3285" w:type="dxa"/>
            <w:vAlign w:val="bottom"/>
          </w:tcPr>
          <w:p w14:paraId="381B696C" w14:textId="77777777" w:rsidR="00B0068C" w:rsidRDefault="00B0068C" w:rsidP="00B0068C">
            <w:pPr>
              <w:pStyle w:val="ParagraphText"/>
            </w:pPr>
          </w:p>
        </w:tc>
      </w:tr>
      <w:tr w:rsidR="00B0068C" w14:paraId="29ACDE6F" w14:textId="77777777" w:rsidTr="00AF5FED">
        <w:trPr>
          <w:trHeight w:val="284"/>
        </w:trPr>
        <w:tc>
          <w:tcPr>
            <w:tcW w:w="3284" w:type="dxa"/>
            <w:vAlign w:val="bottom"/>
          </w:tcPr>
          <w:p w14:paraId="653B9DBA" w14:textId="77777777" w:rsidR="00B0068C" w:rsidRPr="00B0068C" w:rsidRDefault="00B0068C" w:rsidP="00B0068C">
            <w:pPr>
              <w:pStyle w:val="ParagraphText"/>
            </w:pPr>
          </w:p>
        </w:tc>
        <w:tc>
          <w:tcPr>
            <w:tcW w:w="6570" w:type="dxa"/>
            <w:gridSpan w:val="2"/>
            <w:vAlign w:val="bottom"/>
          </w:tcPr>
          <w:p w14:paraId="3B1EDA63" w14:textId="77777777" w:rsidR="00B0068C" w:rsidRPr="00B0068C" w:rsidRDefault="00B0068C" w:rsidP="00B0068C">
            <w:pPr>
              <w:pStyle w:val="ParagraphText"/>
            </w:pPr>
          </w:p>
        </w:tc>
      </w:tr>
      <w:tr w:rsidR="00B0068C" w14:paraId="7BCCAE45" w14:textId="77777777" w:rsidTr="00AF5FED">
        <w:trPr>
          <w:trHeight w:val="567"/>
        </w:trPr>
        <w:tc>
          <w:tcPr>
            <w:tcW w:w="3284" w:type="dxa"/>
          </w:tcPr>
          <w:p w14:paraId="67DE1353" w14:textId="77777777" w:rsidR="00B0068C" w:rsidRDefault="00B0068C" w:rsidP="00B0068C">
            <w:pPr>
              <w:pStyle w:val="ParagraphText"/>
            </w:pPr>
            <w:r w:rsidRPr="00B0068C">
              <w:t xml:space="preserve">Qualifications: </w:t>
            </w:r>
          </w:p>
          <w:p w14:paraId="4D985089" w14:textId="77777777" w:rsidR="000432E5" w:rsidRDefault="000432E5" w:rsidP="00A40CE4">
            <w:pPr>
              <w:pStyle w:val="ParagraphText"/>
            </w:pPr>
          </w:p>
        </w:tc>
        <w:tc>
          <w:tcPr>
            <w:tcW w:w="6570" w:type="dxa"/>
            <w:gridSpan w:val="2"/>
          </w:tcPr>
          <w:p w14:paraId="67567B7F" w14:textId="77777777" w:rsidR="00B0068C" w:rsidRDefault="00B0068C" w:rsidP="00B0068C">
            <w:pPr>
              <w:pStyle w:val="ParagraphText"/>
            </w:pPr>
          </w:p>
        </w:tc>
      </w:tr>
      <w:tr w:rsidR="00B0068C" w14:paraId="520EBFB6" w14:textId="77777777" w:rsidTr="00AF5FED">
        <w:trPr>
          <w:trHeight w:val="284"/>
        </w:trPr>
        <w:tc>
          <w:tcPr>
            <w:tcW w:w="6569" w:type="dxa"/>
            <w:gridSpan w:val="2"/>
            <w:vAlign w:val="bottom"/>
          </w:tcPr>
          <w:p w14:paraId="764685EC" w14:textId="77777777" w:rsidR="00B0068C" w:rsidRPr="00B0068C" w:rsidRDefault="00B0068C" w:rsidP="00B0068C">
            <w:pPr>
              <w:pStyle w:val="ParagraphText"/>
            </w:pPr>
          </w:p>
        </w:tc>
        <w:tc>
          <w:tcPr>
            <w:tcW w:w="3285" w:type="dxa"/>
            <w:vAlign w:val="bottom"/>
          </w:tcPr>
          <w:p w14:paraId="0A8CAE7E" w14:textId="77777777" w:rsidR="00B0068C" w:rsidRDefault="00B0068C" w:rsidP="00B0068C">
            <w:pPr>
              <w:pStyle w:val="ParagraphText"/>
            </w:pPr>
          </w:p>
        </w:tc>
      </w:tr>
      <w:tr w:rsidR="00B0068C" w14:paraId="0918F4A1" w14:textId="77777777" w:rsidTr="00AF5FED">
        <w:trPr>
          <w:trHeight w:val="567"/>
        </w:trPr>
        <w:tc>
          <w:tcPr>
            <w:tcW w:w="6569" w:type="dxa"/>
            <w:gridSpan w:val="2"/>
            <w:vAlign w:val="bottom"/>
          </w:tcPr>
          <w:p w14:paraId="1ADD7BD7" w14:textId="77777777" w:rsidR="00B0068C" w:rsidRDefault="00B0068C" w:rsidP="00B0068C">
            <w:pPr>
              <w:pStyle w:val="ParagraphText"/>
            </w:pPr>
            <w:r w:rsidRPr="00B0068C">
              <w:t>Date IR(ME)R course last undertaken</w:t>
            </w:r>
          </w:p>
        </w:tc>
        <w:tc>
          <w:tcPr>
            <w:tcW w:w="3285" w:type="dxa"/>
            <w:tcBorders>
              <w:bottom w:val="single" w:sz="4" w:space="0" w:color="auto"/>
            </w:tcBorders>
            <w:vAlign w:val="bottom"/>
          </w:tcPr>
          <w:p w14:paraId="3DE4AEF6" w14:textId="77777777" w:rsidR="00B0068C" w:rsidRDefault="00B0068C" w:rsidP="00B0068C">
            <w:pPr>
              <w:pStyle w:val="ParagraphText"/>
            </w:pPr>
          </w:p>
        </w:tc>
      </w:tr>
      <w:tr w:rsidR="00B0068C" w14:paraId="0A4CDFAB" w14:textId="77777777" w:rsidTr="00AF5FED">
        <w:trPr>
          <w:trHeight w:val="284"/>
        </w:trPr>
        <w:tc>
          <w:tcPr>
            <w:tcW w:w="9854" w:type="dxa"/>
            <w:gridSpan w:val="3"/>
            <w:vAlign w:val="bottom"/>
          </w:tcPr>
          <w:p w14:paraId="1D6D6F20" w14:textId="77777777" w:rsidR="00B0068C" w:rsidRPr="00B0068C" w:rsidRDefault="00B0068C" w:rsidP="00B0068C">
            <w:pPr>
              <w:pStyle w:val="ParagraphText"/>
            </w:pPr>
          </w:p>
        </w:tc>
      </w:tr>
      <w:tr w:rsidR="00B0068C" w14:paraId="5E71937F" w14:textId="77777777" w:rsidTr="00AF5FED">
        <w:trPr>
          <w:trHeight w:val="567"/>
        </w:trPr>
        <w:tc>
          <w:tcPr>
            <w:tcW w:w="9854" w:type="dxa"/>
            <w:gridSpan w:val="3"/>
            <w:tcBorders>
              <w:bottom w:val="single" w:sz="4" w:space="0" w:color="auto"/>
            </w:tcBorders>
            <w:vAlign w:val="bottom"/>
          </w:tcPr>
          <w:p w14:paraId="422D49B6" w14:textId="77777777" w:rsidR="00B0068C" w:rsidRDefault="00B0068C" w:rsidP="00B0068C">
            <w:pPr>
              <w:pStyle w:val="ParagraphText"/>
            </w:pPr>
            <w:r w:rsidRPr="00B0068C">
              <w:t>Nurse Practitioner to sign within the box with his/her signature that he/she will use when completing X-ray requests</w:t>
            </w:r>
          </w:p>
        </w:tc>
      </w:tr>
      <w:tr w:rsidR="00B0068C" w14:paraId="618C91B6" w14:textId="77777777" w:rsidTr="00AF5FED">
        <w:trPr>
          <w:trHeight w:val="1701"/>
        </w:trPr>
        <w:tc>
          <w:tcPr>
            <w:tcW w:w="9854" w:type="dxa"/>
            <w:gridSpan w:val="3"/>
            <w:tcBorders>
              <w:top w:val="single" w:sz="4" w:space="0" w:color="auto"/>
              <w:left w:val="single" w:sz="4" w:space="0" w:color="auto"/>
              <w:bottom w:val="single" w:sz="4" w:space="0" w:color="auto"/>
              <w:right w:val="single" w:sz="4" w:space="0" w:color="auto"/>
            </w:tcBorders>
            <w:vAlign w:val="bottom"/>
          </w:tcPr>
          <w:p w14:paraId="46345ACF" w14:textId="77777777" w:rsidR="00B0068C" w:rsidRDefault="00B0068C" w:rsidP="00B0068C">
            <w:pPr>
              <w:pStyle w:val="ParagraphText"/>
            </w:pPr>
          </w:p>
        </w:tc>
      </w:tr>
      <w:tr w:rsidR="00B0068C" w14:paraId="24595043" w14:textId="77777777" w:rsidTr="00AF5FED">
        <w:trPr>
          <w:trHeight w:val="567"/>
        </w:trPr>
        <w:tc>
          <w:tcPr>
            <w:tcW w:w="9854" w:type="dxa"/>
            <w:gridSpan w:val="3"/>
            <w:tcBorders>
              <w:top w:val="single" w:sz="4" w:space="0" w:color="auto"/>
              <w:bottom w:val="single" w:sz="4" w:space="0" w:color="auto"/>
            </w:tcBorders>
            <w:vAlign w:val="bottom"/>
          </w:tcPr>
          <w:p w14:paraId="68BEDD23" w14:textId="77777777" w:rsidR="006801EC" w:rsidRDefault="006801EC" w:rsidP="00AF5FED">
            <w:pPr>
              <w:pStyle w:val="ParagraphText"/>
            </w:pPr>
          </w:p>
          <w:p w14:paraId="7D3688BD" w14:textId="77777777" w:rsidR="00B0068C" w:rsidRPr="00B0068C" w:rsidRDefault="006801EC" w:rsidP="00AF5FED">
            <w:pPr>
              <w:pStyle w:val="ParagraphText"/>
            </w:pPr>
            <w:r>
              <w:t>N</w:t>
            </w:r>
            <w:r w:rsidR="00B0068C" w:rsidRPr="00B0068C">
              <w:t>ame of GP Mentor/supervisor supporting this application:</w:t>
            </w:r>
          </w:p>
          <w:p w14:paraId="3028B29F" w14:textId="77777777" w:rsidR="00B0068C" w:rsidRDefault="00B0068C" w:rsidP="00B0068C">
            <w:pPr>
              <w:pStyle w:val="ParagraphText"/>
            </w:pPr>
            <w:r w:rsidRPr="00B0068C">
              <w:t>GP mentor/supervisor to sign in support of this application.</w:t>
            </w:r>
          </w:p>
        </w:tc>
      </w:tr>
      <w:tr w:rsidR="00B0068C" w14:paraId="7C987D80" w14:textId="77777777" w:rsidTr="00AF5FED">
        <w:trPr>
          <w:trHeight w:val="1701"/>
        </w:trPr>
        <w:tc>
          <w:tcPr>
            <w:tcW w:w="9854" w:type="dxa"/>
            <w:gridSpan w:val="3"/>
            <w:tcBorders>
              <w:top w:val="single" w:sz="4" w:space="0" w:color="auto"/>
              <w:left w:val="single" w:sz="4" w:space="0" w:color="auto"/>
              <w:bottom w:val="single" w:sz="4" w:space="0" w:color="auto"/>
              <w:right w:val="single" w:sz="4" w:space="0" w:color="auto"/>
            </w:tcBorders>
            <w:vAlign w:val="bottom"/>
          </w:tcPr>
          <w:p w14:paraId="1168CD4B" w14:textId="77777777" w:rsidR="00B0068C" w:rsidRDefault="00B0068C" w:rsidP="00B0068C">
            <w:pPr>
              <w:pStyle w:val="ParagraphText"/>
            </w:pPr>
          </w:p>
        </w:tc>
      </w:tr>
    </w:tbl>
    <w:p w14:paraId="01138DBE" w14:textId="77777777" w:rsidR="00A92215" w:rsidRPr="007C1018" w:rsidRDefault="00A92215" w:rsidP="007C1018">
      <w:pPr>
        <w:pStyle w:val="ParagrahHeading"/>
        <w:rPr>
          <w:szCs w:val="28"/>
        </w:rPr>
      </w:pPr>
      <w:r>
        <w:rPr>
          <w:color w:val="000000"/>
        </w:rPr>
        <w:br w:type="page"/>
      </w:r>
      <w:r w:rsidRPr="007C1018">
        <w:rPr>
          <w:szCs w:val="28"/>
        </w:rPr>
        <w:lastRenderedPageBreak/>
        <w:t>Supporting Evidence and References</w:t>
      </w:r>
    </w:p>
    <w:p w14:paraId="66315769" w14:textId="77777777" w:rsidR="00A92215" w:rsidRPr="007C1018" w:rsidRDefault="00A92215" w:rsidP="007C1018">
      <w:pPr>
        <w:pStyle w:val="ParagraphText"/>
      </w:pPr>
      <w:r w:rsidRPr="007C1018">
        <w:t xml:space="preserve">Coombs J (2001) Report to the Primary Care Reference Group. Nurse Practitioners in Primary Care. West Yorkshire Workforce </w:t>
      </w:r>
      <w:proofErr w:type="gramStart"/>
      <w:r w:rsidRPr="007C1018">
        <w:t>development</w:t>
      </w:r>
      <w:proofErr w:type="gramEnd"/>
      <w:r w:rsidRPr="007C1018">
        <w:t xml:space="preserve"> Confederation. Cited in Crew J (2007), Policy for Nurse Practitioner referral to radiology at the mid Yorkshire Hospitals NHS Trust or Calderdale and Huddersfield NHS Foundation Trust. Kirklees Primary Care NHS Trust.</w:t>
      </w:r>
    </w:p>
    <w:p w14:paraId="0DF3497D" w14:textId="77777777" w:rsidR="00A92215" w:rsidRPr="007C1018" w:rsidRDefault="00A92215" w:rsidP="007C1018">
      <w:pPr>
        <w:pStyle w:val="ParagraphText"/>
      </w:pPr>
      <w:r w:rsidRPr="007C1018">
        <w:t>Crew J (2007), Policy for Nurse Practitioner referral to radiology at the mid Yorkshire Hospitals NHS Trust or Calderdale and Huddersfield NHS Foundation Trust. Kirklees Primary Care NHS Trust.</w:t>
      </w:r>
    </w:p>
    <w:p w14:paraId="49570665" w14:textId="77777777" w:rsidR="00A92215" w:rsidRPr="007C1018" w:rsidRDefault="00A92215" w:rsidP="007C1018">
      <w:pPr>
        <w:pStyle w:val="ParagraphText"/>
      </w:pPr>
      <w:r w:rsidRPr="007C1018">
        <w:t xml:space="preserve">Department of Health (2000), NHS Plan – A plan for investment, A plan for reform, Department of Health: London. </w:t>
      </w:r>
    </w:p>
    <w:p w14:paraId="2A9D1D32" w14:textId="77777777" w:rsidR="00A92215" w:rsidRPr="007C1018" w:rsidRDefault="00A92215" w:rsidP="007C1018">
      <w:pPr>
        <w:pStyle w:val="ParagraphText"/>
      </w:pPr>
      <w:r w:rsidRPr="007C1018">
        <w:t>Ionising Radiation (Medical Exp</w:t>
      </w:r>
      <w:r w:rsidR="002B7642">
        <w:t>osure) Regulations (IR[ME]R 2017</w:t>
      </w:r>
    </w:p>
    <w:p w14:paraId="6875CC19" w14:textId="77777777" w:rsidR="00A92215" w:rsidRPr="007C1018" w:rsidRDefault="00A92215" w:rsidP="007C1018">
      <w:pPr>
        <w:pStyle w:val="ParagraphText"/>
      </w:pPr>
      <w:r w:rsidRPr="007C1018">
        <w:t>NMC (2008), The Code: Standards of conduct. Performance and ethics for nurses and midwives, Nursing and Midwifery Council, London.</w:t>
      </w:r>
    </w:p>
    <w:p w14:paraId="0A23B91F" w14:textId="77777777" w:rsidR="00A92215" w:rsidRPr="007C1018" w:rsidRDefault="00A92215" w:rsidP="007C1018">
      <w:pPr>
        <w:pStyle w:val="ParagraphText"/>
      </w:pPr>
      <w:r w:rsidRPr="007C1018">
        <w:t xml:space="preserve">RCN (2008), Advanced Nurse Practitioners – an RCN guide to the advanced nurse practitioner role, </w:t>
      </w:r>
      <w:proofErr w:type="gramStart"/>
      <w:r w:rsidRPr="007C1018">
        <w:t>competencies</w:t>
      </w:r>
      <w:proofErr w:type="gramEnd"/>
      <w:r w:rsidRPr="007C1018">
        <w:t xml:space="preserve"> and programme accreditation. Royal College of Nursing, London. </w:t>
      </w:r>
    </w:p>
    <w:p w14:paraId="17818C2B" w14:textId="77777777" w:rsidR="00A92215" w:rsidRPr="007C1018" w:rsidRDefault="00A92215" w:rsidP="007C1018">
      <w:pPr>
        <w:pStyle w:val="ParagraphText"/>
      </w:pPr>
      <w:proofErr w:type="spellStart"/>
      <w:r w:rsidRPr="007C1018">
        <w:t>Stiell</w:t>
      </w:r>
      <w:proofErr w:type="spellEnd"/>
      <w:r w:rsidRPr="007C1018">
        <w:t xml:space="preserve"> IG, McKnight RD, Greenberg GH, McDowell I, Nair RC, Wells GA, Johns C, Worthington JR (1994). </w:t>
      </w:r>
      <w:hyperlink r:id="rId7" w:tgtFrame="_blank" w:history="1">
        <w:r w:rsidRPr="007C1018">
          <w:rPr>
            <w:rStyle w:val="Hyperlink"/>
            <w:color w:val="auto"/>
            <w:u w:val="none"/>
          </w:rPr>
          <w:t>Implementation of the Ottawa Ankle Rules.</w:t>
        </w:r>
      </w:hyperlink>
      <w:r w:rsidRPr="007C1018">
        <w:t xml:space="preserve"> Journal of the American Medical Association; 271:827-832.</w:t>
      </w:r>
    </w:p>
    <w:p w14:paraId="5FEB000C" w14:textId="77777777" w:rsidR="00A92215" w:rsidRPr="007C1018" w:rsidRDefault="00A92215" w:rsidP="007C1018">
      <w:pPr>
        <w:pStyle w:val="ParagraphText"/>
      </w:pPr>
      <w:proofErr w:type="spellStart"/>
      <w:r w:rsidRPr="007C1018">
        <w:t>Stiell</w:t>
      </w:r>
      <w:proofErr w:type="spellEnd"/>
      <w:r w:rsidRPr="007C1018">
        <w:t xml:space="preserve"> IG, Wells GA, Hoag RH, </w:t>
      </w:r>
      <w:proofErr w:type="spellStart"/>
      <w:r w:rsidRPr="007C1018">
        <w:t>Sivilotti</w:t>
      </w:r>
      <w:proofErr w:type="spellEnd"/>
      <w:r w:rsidRPr="007C1018">
        <w:t xml:space="preserve"> MLA, Cacciotti TF, Verbeek PR, Greenway KT, McDowell I, </w:t>
      </w:r>
      <w:proofErr w:type="spellStart"/>
      <w:r w:rsidRPr="007C1018">
        <w:t>Cwinn</w:t>
      </w:r>
      <w:proofErr w:type="spellEnd"/>
      <w:r w:rsidRPr="007C1018">
        <w:t xml:space="preserve"> AA, Greenberg GH, Nichol G, Michael JA (1997). </w:t>
      </w:r>
      <w:hyperlink r:id="rId8" w:tgtFrame="_blank" w:history="1">
        <w:r w:rsidRPr="007C1018">
          <w:rPr>
            <w:rStyle w:val="Hyperlink"/>
            <w:color w:val="auto"/>
            <w:u w:val="none"/>
          </w:rPr>
          <w:t>Implementation of the Ottawa Knee Rule for the Use of Radiography in Acute Knee Injuries.</w:t>
        </w:r>
      </w:hyperlink>
      <w:r w:rsidRPr="007C1018">
        <w:t xml:space="preserve"> Journal of the American Medical Association; 278:2075-2079.</w:t>
      </w:r>
    </w:p>
    <w:p w14:paraId="556DAF90" w14:textId="77777777" w:rsidR="00A92215" w:rsidRPr="007C1018" w:rsidRDefault="00A92215" w:rsidP="007C1018">
      <w:pPr>
        <w:pStyle w:val="ParagrahHeading"/>
        <w:rPr>
          <w:szCs w:val="28"/>
        </w:rPr>
      </w:pPr>
      <w:r w:rsidRPr="007C1018">
        <w:rPr>
          <w:szCs w:val="28"/>
        </w:rPr>
        <w:t>Bibliography</w:t>
      </w:r>
    </w:p>
    <w:p w14:paraId="6BF51408" w14:textId="77777777" w:rsidR="00A92215" w:rsidRPr="007C1018" w:rsidRDefault="00A92215" w:rsidP="007C1018">
      <w:pPr>
        <w:pStyle w:val="ParagraphText"/>
      </w:pPr>
      <w:r w:rsidRPr="007C1018">
        <w:t>RCN (2006), Clinical Imaging Requests from Non-medically Qualified Professionals, Royal College of Nursing, London.</w:t>
      </w:r>
    </w:p>
    <w:sectPr w:rsidR="00A92215" w:rsidRPr="007C1018" w:rsidSect="00F9663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C5F0" w14:textId="77777777" w:rsidR="00222693" w:rsidRDefault="00222693">
      <w:r>
        <w:separator/>
      </w:r>
    </w:p>
  </w:endnote>
  <w:endnote w:type="continuationSeparator" w:id="0">
    <w:p w14:paraId="1A8A402E" w14:textId="77777777" w:rsidR="00222693" w:rsidRDefault="0022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6" w:type="dxa"/>
      <w:tblInd w:w="-240" w:type="dxa"/>
      <w:tblLayout w:type="fixed"/>
      <w:tblLook w:val="01E0" w:firstRow="1" w:lastRow="1" w:firstColumn="1" w:lastColumn="1" w:noHBand="0" w:noVBand="0"/>
    </w:tblPr>
    <w:tblGrid>
      <w:gridCol w:w="1728"/>
      <w:gridCol w:w="1800"/>
      <w:gridCol w:w="360"/>
      <w:gridCol w:w="1260"/>
      <w:gridCol w:w="2092"/>
      <w:gridCol w:w="416"/>
      <w:gridCol w:w="1440"/>
      <w:gridCol w:w="1260"/>
    </w:tblGrid>
    <w:tr w:rsidR="001A2AD6" w:rsidRPr="00C64E32" w14:paraId="761AA01A" w14:textId="77777777" w:rsidTr="00C64E32">
      <w:tc>
        <w:tcPr>
          <w:tcW w:w="1728" w:type="dxa"/>
        </w:tcPr>
        <w:p w14:paraId="58D8AE5E" w14:textId="77777777" w:rsidR="001A2AD6" w:rsidRPr="002F6C31" w:rsidRDefault="001A2AD6" w:rsidP="00110827">
          <w:pPr>
            <w:rPr>
              <w:rFonts w:ascii="Comic Sans MS" w:hAnsi="Comic Sans MS"/>
              <w:b/>
              <w:sz w:val="16"/>
              <w:szCs w:val="16"/>
            </w:rPr>
          </w:pPr>
        </w:p>
      </w:tc>
      <w:tc>
        <w:tcPr>
          <w:tcW w:w="1800" w:type="dxa"/>
        </w:tcPr>
        <w:p w14:paraId="0BA631FB" w14:textId="77777777" w:rsidR="001A2AD6" w:rsidRPr="002F6C31" w:rsidRDefault="001A2AD6" w:rsidP="002F6C31">
          <w:pPr>
            <w:rPr>
              <w:rFonts w:ascii="Arial" w:hAnsi="Arial" w:cs="Arial"/>
              <w:sz w:val="16"/>
              <w:szCs w:val="16"/>
            </w:rPr>
          </w:pPr>
        </w:p>
      </w:tc>
      <w:tc>
        <w:tcPr>
          <w:tcW w:w="360" w:type="dxa"/>
        </w:tcPr>
        <w:p w14:paraId="01D817E5" w14:textId="77777777" w:rsidR="001A2AD6" w:rsidRPr="00C64E32" w:rsidRDefault="001A2AD6">
          <w:pPr>
            <w:rPr>
              <w:rFonts w:ascii="Comic Sans MS" w:hAnsi="Comic Sans MS"/>
              <w:sz w:val="18"/>
              <w:szCs w:val="18"/>
            </w:rPr>
          </w:pPr>
        </w:p>
      </w:tc>
      <w:tc>
        <w:tcPr>
          <w:tcW w:w="1260" w:type="dxa"/>
        </w:tcPr>
        <w:p w14:paraId="5A195806" w14:textId="77777777" w:rsidR="001A2AD6" w:rsidRPr="00C64E32" w:rsidRDefault="001A2AD6">
          <w:pPr>
            <w:rPr>
              <w:rFonts w:ascii="Comic Sans MS" w:hAnsi="Comic Sans MS"/>
              <w:b/>
              <w:sz w:val="18"/>
              <w:szCs w:val="18"/>
            </w:rPr>
          </w:pPr>
        </w:p>
      </w:tc>
      <w:tc>
        <w:tcPr>
          <w:tcW w:w="2092" w:type="dxa"/>
        </w:tcPr>
        <w:p w14:paraId="1952C1FD" w14:textId="77777777" w:rsidR="001A2AD6" w:rsidRPr="00C64E32" w:rsidRDefault="001A2AD6">
          <w:pPr>
            <w:rPr>
              <w:rFonts w:ascii="Comic Sans MS" w:hAnsi="Comic Sans MS"/>
              <w:sz w:val="18"/>
              <w:szCs w:val="18"/>
            </w:rPr>
          </w:pPr>
        </w:p>
      </w:tc>
      <w:tc>
        <w:tcPr>
          <w:tcW w:w="416" w:type="dxa"/>
        </w:tcPr>
        <w:p w14:paraId="16E8CF4B" w14:textId="77777777" w:rsidR="001A2AD6" w:rsidRPr="00C64E32" w:rsidRDefault="001A2AD6">
          <w:pPr>
            <w:rPr>
              <w:rFonts w:ascii="Comic Sans MS" w:hAnsi="Comic Sans MS"/>
              <w:sz w:val="18"/>
              <w:szCs w:val="18"/>
            </w:rPr>
          </w:pPr>
        </w:p>
      </w:tc>
      <w:tc>
        <w:tcPr>
          <w:tcW w:w="1440" w:type="dxa"/>
        </w:tcPr>
        <w:p w14:paraId="7C65358D" w14:textId="77777777" w:rsidR="001A2AD6" w:rsidRPr="002F6C31" w:rsidRDefault="001A2AD6">
          <w:pPr>
            <w:rPr>
              <w:rFonts w:ascii="Arial" w:hAnsi="Arial" w:cs="Arial"/>
              <w:b/>
              <w:sz w:val="16"/>
              <w:szCs w:val="16"/>
            </w:rPr>
          </w:pPr>
          <w:r w:rsidRPr="002F6C31">
            <w:rPr>
              <w:rFonts w:ascii="Arial" w:hAnsi="Arial" w:cs="Arial"/>
              <w:b/>
              <w:sz w:val="16"/>
              <w:szCs w:val="16"/>
            </w:rPr>
            <w:t>Review:</w:t>
          </w:r>
        </w:p>
      </w:tc>
      <w:tc>
        <w:tcPr>
          <w:tcW w:w="1260" w:type="dxa"/>
        </w:tcPr>
        <w:p w14:paraId="51C46319" w14:textId="77777777" w:rsidR="001A2AD6" w:rsidRPr="002F6C31" w:rsidRDefault="001A2AD6" w:rsidP="002F6C31">
          <w:pPr>
            <w:rPr>
              <w:rFonts w:ascii="Arial" w:hAnsi="Arial" w:cs="Arial"/>
              <w:sz w:val="16"/>
              <w:szCs w:val="16"/>
            </w:rPr>
          </w:pPr>
        </w:p>
      </w:tc>
    </w:tr>
    <w:tr w:rsidR="001A2AD6" w:rsidRPr="00C64E32" w14:paraId="1E69F3BA" w14:textId="77777777" w:rsidTr="00C64E32">
      <w:tc>
        <w:tcPr>
          <w:tcW w:w="1728" w:type="dxa"/>
        </w:tcPr>
        <w:p w14:paraId="767D0678" w14:textId="77777777" w:rsidR="001A2AD6" w:rsidRDefault="001A2AD6">
          <w:pPr>
            <w:rPr>
              <w:rFonts w:ascii="Comic Sans MS" w:hAnsi="Comic Sans MS"/>
              <w:b/>
              <w:sz w:val="18"/>
              <w:szCs w:val="18"/>
            </w:rPr>
          </w:pPr>
        </w:p>
        <w:p w14:paraId="356E21B4" w14:textId="77777777" w:rsidR="002F6C31" w:rsidRDefault="002F6C31">
          <w:pPr>
            <w:rPr>
              <w:rFonts w:ascii="Comic Sans MS" w:hAnsi="Comic Sans MS"/>
              <w:b/>
              <w:sz w:val="18"/>
              <w:szCs w:val="18"/>
            </w:rPr>
          </w:pPr>
        </w:p>
        <w:p w14:paraId="5D0FD6D2" w14:textId="77777777" w:rsidR="002F6C31" w:rsidRPr="00C64E32" w:rsidRDefault="002F6C31">
          <w:pPr>
            <w:rPr>
              <w:rFonts w:ascii="Comic Sans MS" w:hAnsi="Comic Sans MS"/>
              <w:b/>
              <w:sz w:val="18"/>
              <w:szCs w:val="18"/>
            </w:rPr>
          </w:pPr>
        </w:p>
      </w:tc>
      <w:tc>
        <w:tcPr>
          <w:tcW w:w="1800" w:type="dxa"/>
        </w:tcPr>
        <w:p w14:paraId="43B12DBA" w14:textId="77777777" w:rsidR="001A2AD6" w:rsidRPr="00C64E32" w:rsidRDefault="001A2AD6">
          <w:pPr>
            <w:rPr>
              <w:rFonts w:ascii="Arial" w:hAnsi="Arial" w:cs="Arial"/>
              <w:sz w:val="18"/>
              <w:szCs w:val="18"/>
            </w:rPr>
          </w:pPr>
        </w:p>
      </w:tc>
      <w:tc>
        <w:tcPr>
          <w:tcW w:w="360" w:type="dxa"/>
        </w:tcPr>
        <w:p w14:paraId="7F340093" w14:textId="77777777" w:rsidR="001A2AD6" w:rsidRPr="00C64E32" w:rsidRDefault="001A2AD6">
          <w:pPr>
            <w:rPr>
              <w:rFonts w:ascii="Comic Sans MS" w:hAnsi="Comic Sans MS"/>
              <w:sz w:val="18"/>
              <w:szCs w:val="18"/>
            </w:rPr>
          </w:pPr>
        </w:p>
      </w:tc>
      <w:tc>
        <w:tcPr>
          <w:tcW w:w="1260" w:type="dxa"/>
        </w:tcPr>
        <w:p w14:paraId="0906F699" w14:textId="77777777" w:rsidR="001A2AD6" w:rsidRPr="00C64E32" w:rsidRDefault="001A2AD6">
          <w:pPr>
            <w:rPr>
              <w:rFonts w:ascii="Comic Sans MS" w:hAnsi="Comic Sans MS"/>
              <w:b/>
              <w:sz w:val="18"/>
              <w:szCs w:val="18"/>
            </w:rPr>
          </w:pPr>
        </w:p>
      </w:tc>
      <w:tc>
        <w:tcPr>
          <w:tcW w:w="2092" w:type="dxa"/>
        </w:tcPr>
        <w:p w14:paraId="6B2F1456" w14:textId="77777777" w:rsidR="001A2AD6" w:rsidRPr="00C64E32" w:rsidRDefault="001A2AD6">
          <w:pPr>
            <w:rPr>
              <w:rFonts w:ascii="Comic Sans MS" w:hAnsi="Comic Sans MS"/>
              <w:sz w:val="18"/>
              <w:szCs w:val="18"/>
            </w:rPr>
          </w:pPr>
        </w:p>
      </w:tc>
      <w:tc>
        <w:tcPr>
          <w:tcW w:w="416" w:type="dxa"/>
        </w:tcPr>
        <w:p w14:paraId="082C0F65" w14:textId="77777777" w:rsidR="001A2AD6" w:rsidRPr="00C64E32" w:rsidRDefault="001A2AD6">
          <w:pPr>
            <w:rPr>
              <w:rFonts w:ascii="Comic Sans MS" w:hAnsi="Comic Sans MS"/>
              <w:sz w:val="18"/>
              <w:szCs w:val="18"/>
            </w:rPr>
          </w:pPr>
        </w:p>
      </w:tc>
      <w:tc>
        <w:tcPr>
          <w:tcW w:w="1440" w:type="dxa"/>
        </w:tcPr>
        <w:p w14:paraId="1D575BC0" w14:textId="77777777" w:rsidR="001A2AD6" w:rsidRDefault="00110827" w:rsidP="00110827">
          <w:pPr>
            <w:rPr>
              <w:rFonts w:ascii="Arial" w:hAnsi="Arial" w:cs="Arial"/>
              <w:b/>
              <w:sz w:val="16"/>
              <w:szCs w:val="16"/>
            </w:rPr>
          </w:pPr>
          <w:r>
            <w:rPr>
              <w:rFonts w:ascii="Arial" w:hAnsi="Arial" w:cs="Arial"/>
              <w:b/>
              <w:sz w:val="16"/>
              <w:szCs w:val="16"/>
            </w:rPr>
            <w:t xml:space="preserve">Last </w:t>
          </w:r>
          <w:r w:rsidR="001A2AD6" w:rsidRPr="002F6C31">
            <w:rPr>
              <w:rFonts w:ascii="Arial" w:hAnsi="Arial" w:cs="Arial"/>
              <w:b/>
              <w:sz w:val="16"/>
              <w:szCs w:val="16"/>
            </w:rPr>
            <w:t>Review:</w:t>
          </w:r>
        </w:p>
        <w:p w14:paraId="3B67A839" w14:textId="77777777" w:rsidR="00110827" w:rsidRPr="002F6C31" w:rsidRDefault="00110827" w:rsidP="00110827">
          <w:pPr>
            <w:rPr>
              <w:rFonts w:ascii="Arial" w:hAnsi="Arial" w:cs="Arial"/>
              <w:b/>
              <w:sz w:val="16"/>
              <w:szCs w:val="16"/>
            </w:rPr>
          </w:pPr>
          <w:r>
            <w:rPr>
              <w:rFonts w:ascii="Arial" w:hAnsi="Arial" w:cs="Arial"/>
              <w:b/>
              <w:sz w:val="16"/>
              <w:szCs w:val="16"/>
            </w:rPr>
            <w:t>Review Due:</w:t>
          </w:r>
        </w:p>
      </w:tc>
      <w:tc>
        <w:tcPr>
          <w:tcW w:w="1260" w:type="dxa"/>
        </w:tcPr>
        <w:p w14:paraId="12AD5386" w14:textId="77777777" w:rsidR="00110827" w:rsidRPr="002F6C31" w:rsidRDefault="00110827" w:rsidP="00A40CE4">
          <w:pPr>
            <w:rPr>
              <w:rFonts w:ascii="Arial" w:hAnsi="Arial" w:cs="Arial"/>
              <w:sz w:val="16"/>
              <w:szCs w:val="16"/>
            </w:rPr>
          </w:pPr>
        </w:p>
      </w:tc>
    </w:tr>
  </w:tbl>
  <w:p w14:paraId="61B7FB50" w14:textId="77777777" w:rsidR="00136552" w:rsidRDefault="00136552" w:rsidP="00D5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5204" w14:textId="77777777" w:rsidR="00222693" w:rsidRDefault="00222693">
      <w:r>
        <w:separator/>
      </w:r>
    </w:p>
  </w:footnote>
  <w:footnote w:type="continuationSeparator" w:id="0">
    <w:p w14:paraId="17B59F70" w14:textId="77777777" w:rsidR="00222693" w:rsidRDefault="00222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3C2B"/>
    <w:multiLevelType w:val="hybridMultilevel"/>
    <w:tmpl w:val="6B147710"/>
    <w:lvl w:ilvl="0" w:tplc="F4BC8128">
      <w:start w:val="1"/>
      <w:numFmt w:val="bullet"/>
      <w:pStyle w:val="ParagrahBulletLis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047180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BB4"/>
    <w:rsid w:val="00020B74"/>
    <w:rsid w:val="000432E5"/>
    <w:rsid w:val="00047EF1"/>
    <w:rsid w:val="0007267D"/>
    <w:rsid w:val="00110827"/>
    <w:rsid w:val="00114295"/>
    <w:rsid w:val="001154DD"/>
    <w:rsid w:val="00122A6F"/>
    <w:rsid w:val="0012357A"/>
    <w:rsid w:val="00123CC5"/>
    <w:rsid w:val="00136552"/>
    <w:rsid w:val="00141B66"/>
    <w:rsid w:val="00181D4F"/>
    <w:rsid w:val="001A2AD6"/>
    <w:rsid w:val="001C03AD"/>
    <w:rsid w:val="001C4A5B"/>
    <w:rsid w:val="001D54BF"/>
    <w:rsid w:val="001D7688"/>
    <w:rsid w:val="001E725A"/>
    <w:rsid w:val="001F71A4"/>
    <w:rsid w:val="002166E4"/>
    <w:rsid w:val="00217E95"/>
    <w:rsid w:val="00222693"/>
    <w:rsid w:val="00223988"/>
    <w:rsid w:val="0025027B"/>
    <w:rsid w:val="002B7642"/>
    <w:rsid w:val="002F5575"/>
    <w:rsid w:val="002F6C31"/>
    <w:rsid w:val="00304EAF"/>
    <w:rsid w:val="003224D9"/>
    <w:rsid w:val="003267E7"/>
    <w:rsid w:val="00332FBE"/>
    <w:rsid w:val="00355EE4"/>
    <w:rsid w:val="003975D4"/>
    <w:rsid w:val="003B3547"/>
    <w:rsid w:val="003B4F9F"/>
    <w:rsid w:val="003C0F7D"/>
    <w:rsid w:val="003C3C40"/>
    <w:rsid w:val="004458D7"/>
    <w:rsid w:val="00452CA1"/>
    <w:rsid w:val="004611DE"/>
    <w:rsid w:val="00462F90"/>
    <w:rsid w:val="00470A14"/>
    <w:rsid w:val="0049562D"/>
    <w:rsid w:val="004B1E84"/>
    <w:rsid w:val="004C0590"/>
    <w:rsid w:val="004E745E"/>
    <w:rsid w:val="0054110C"/>
    <w:rsid w:val="005445AF"/>
    <w:rsid w:val="005505C2"/>
    <w:rsid w:val="00552647"/>
    <w:rsid w:val="005867F0"/>
    <w:rsid w:val="005D2E97"/>
    <w:rsid w:val="006307DE"/>
    <w:rsid w:val="00637C87"/>
    <w:rsid w:val="006654B1"/>
    <w:rsid w:val="006801EC"/>
    <w:rsid w:val="006B358B"/>
    <w:rsid w:val="006B5FA5"/>
    <w:rsid w:val="006C3AF2"/>
    <w:rsid w:val="006C43D8"/>
    <w:rsid w:val="006D7CCB"/>
    <w:rsid w:val="007162CC"/>
    <w:rsid w:val="0074354F"/>
    <w:rsid w:val="00760D0E"/>
    <w:rsid w:val="00780782"/>
    <w:rsid w:val="007913AA"/>
    <w:rsid w:val="00795FB7"/>
    <w:rsid w:val="007A7422"/>
    <w:rsid w:val="007B5D63"/>
    <w:rsid w:val="007C1018"/>
    <w:rsid w:val="008157D2"/>
    <w:rsid w:val="0086163D"/>
    <w:rsid w:val="00872837"/>
    <w:rsid w:val="00876F15"/>
    <w:rsid w:val="00883DDC"/>
    <w:rsid w:val="00903510"/>
    <w:rsid w:val="00905263"/>
    <w:rsid w:val="009574E9"/>
    <w:rsid w:val="00960CD0"/>
    <w:rsid w:val="00972974"/>
    <w:rsid w:val="00977387"/>
    <w:rsid w:val="009A1AA6"/>
    <w:rsid w:val="009B2AF4"/>
    <w:rsid w:val="009B74BA"/>
    <w:rsid w:val="009D3E2F"/>
    <w:rsid w:val="00A14815"/>
    <w:rsid w:val="00A40CE4"/>
    <w:rsid w:val="00A50BCB"/>
    <w:rsid w:val="00A92215"/>
    <w:rsid w:val="00AB5DDF"/>
    <w:rsid w:val="00AC48A7"/>
    <w:rsid w:val="00AD0F45"/>
    <w:rsid w:val="00AF5FED"/>
    <w:rsid w:val="00AF7D23"/>
    <w:rsid w:val="00B0068C"/>
    <w:rsid w:val="00B34016"/>
    <w:rsid w:val="00B51F35"/>
    <w:rsid w:val="00B67AEA"/>
    <w:rsid w:val="00B82120"/>
    <w:rsid w:val="00B92793"/>
    <w:rsid w:val="00B9388D"/>
    <w:rsid w:val="00B9751F"/>
    <w:rsid w:val="00BC026B"/>
    <w:rsid w:val="00BE3072"/>
    <w:rsid w:val="00C15891"/>
    <w:rsid w:val="00C3601F"/>
    <w:rsid w:val="00C64E32"/>
    <w:rsid w:val="00C65C35"/>
    <w:rsid w:val="00C81BB4"/>
    <w:rsid w:val="00CC0F8D"/>
    <w:rsid w:val="00D177D1"/>
    <w:rsid w:val="00D52C3B"/>
    <w:rsid w:val="00DC6E30"/>
    <w:rsid w:val="00DD6E9C"/>
    <w:rsid w:val="00DF2639"/>
    <w:rsid w:val="00E2412A"/>
    <w:rsid w:val="00E30939"/>
    <w:rsid w:val="00E318C9"/>
    <w:rsid w:val="00E63383"/>
    <w:rsid w:val="00ED14DF"/>
    <w:rsid w:val="00ED7DF7"/>
    <w:rsid w:val="00F55234"/>
    <w:rsid w:val="00F61BA4"/>
    <w:rsid w:val="00F96638"/>
    <w:rsid w:val="00FB1BA8"/>
    <w:rsid w:val="00FE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AE54"/>
  <w15:chartTrackingRefBased/>
  <w15:docId w15:val="{A8A74AF0-CE55-49CD-B2EF-92E9420C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81BB4"/>
    <w:pPr>
      <w:keepNext/>
      <w:tabs>
        <w:tab w:val="left" w:pos="567"/>
      </w:tabs>
      <w:spacing w:after="240"/>
      <w:jc w:val="center"/>
      <w:outlineLvl w:val="0"/>
    </w:pPr>
    <w:rPr>
      <w:rFonts w:ascii="Arial" w:hAnsi="Arial"/>
      <w:b/>
      <w:caps/>
      <w:sz w:val="32"/>
      <w:szCs w:val="20"/>
      <w:lang w:eastAsia="en-US"/>
    </w:rPr>
  </w:style>
  <w:style w:type="paragraph" w:styleId="Heading2">
    <w:name w:val="heading 2"/>
    <w:basedOn w:val="Normal"/>
    <w:next w:val="Normal"/>
    <w:qFormat/>
    <w:rsid w:val="001D7688"/>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81BB4"/>
    <w:rPr>
      <w:rFonts w:ascii="Arial" w:hAnsi="Arial"/>
      <w:b/>
      <w:caps/>
      <w:sz w:val="32"/>
      <w:lang w:val="en-GB" w:eastAsia="en-US" w:bidi="ar-SA"/>
    </w:rPr>
  </w:style>
  <w:style w:type="paragraph" w:customStyle="1" w:styleId="ParagrahHeading">
    <w:name w:val="Paragrah Heading"/>
    <w:basedOn w:val="Normal"/>
    <w:next w:val="ParagraphText"/>
    <w:link w:val="ParagrahHeadingChar"/>
    <w:rsid w:val="00020B74"/>
    <w:pPr>
      <w:autoSpaceDE w:val="0"/>
      <w:autoSpaceDN w:val="0"/>
      <w:adjustRightInd w:val="0"/>
      <w:spacing w:before="120" w:after="120"/>
    </w:pPr>
    <w:rPr>
      <w:rFonts w:ascii="Arial" w:hAnsi="Arial" w:cs="Arial"/>
      <w:b/>
      <w:bCs/>
      <w:szCs w:val="22"/>
    </w:rPr>
  </w:style>
  <w:style w:type="paragraph" w:customStyle="1" w:styleId="ParagraphText">
    <w:name w:val="Paragraph Text"/>
    <w:basedOn w:val="Normal"/>
    <w:rsid w:val="00DD6E9C"/>
    <w:pPr>
      <w:autoSpaceDE w:val="0"/>
      <w:autoSpaceDN w:val="0"/>
      <w:adjustRightInd w:val="0"/>
      <w:spacing w:after="120"/>
    </w:pPr>
    <w:rPr>
      <w:rFonts w:ascii="Arial" w:hAnsi="Arial" w:cs="Arial"/>
      <w:sz w:val="22"/>
      <w:szCs w:val="20"/>
    </w:rPr>
  </w:style>
  <w:style w:type="paragraph" w:styleId="Header">
    <w:name w:val="header"/>
    <w:basedOn w:val="Normal"/>
    <w:rsid w:val="00795FB7"/>
    <w:pPr>
      <w:tabs>
        <w:tab w:val="center" w:pos="4153"/>
        <w:tab w:val="right" w:pos="8306"/>
      </w:tabs>
    </w:pPr>
  </w:style>
  <w:style w:type="paragraph" w:styleId="Footer">
    <w:name w:val="footer"/>
    <w:basedOn w:val="Normal"/>
    <w:link w:val="FooterChar"/>
    <w:rsid w:val="00795FB7"/>
    <w:pPr>
      <w:tabs>
        <w:tab w:val="center" w:pos="4153"/>
        <w:tab w:val="right" w:pos="8306"/>
      </w:tabs>
    </w:pPr>
  </w:style>
  <w:style w:type="character" w:customStyle="1" w:styleId="FooterChar">
    <w:name w:val="Footer Char"/>
    <w:link w:val="Footer"/>
    <w:rsid w:val="00795FB7"/>
    <w:rPr>
      <w:sz w:val="24"/>
      <w:szCs w:val="24"/>
      <w:lang w:val="en-GB" w:eastAsia="en-GB" w:bidi="ar-SA"/>
    </w:rPr>
  </w:style>
  <w:style w:type="table" w:styleId="TableGrid">
    <w:name w:val="Table Grid"/>
    <w:basedOn w:val="TableNormal"/>
    <w:rsid w:val="006D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E3072"/>
    <w:rPr>
      <w:rFonts w:ascii="Arial" w:hAnsi="Arial"/>
      <w:sz w:val="32"/>
      <w:szCs w:val="20"/>
      <w:lang w:eastAsia="en-US"/>
    </w:rPr>
  </w:style>
  <w:style w:type="paragraph" w:customStyle="1" w:styleId="ParagrahBulletList">
    <w:name w:val="Paragrah Bullet List"/>
    <w:basedOn w:val="ParagraphText"/>
    <w:rsid w:val="00D177D1"/>
    <w:pPr>
      <w:numPr>
        <w:numId w:val="1"/>
      </w:numPr>
      <w:spacing w:before="120"/>
    </w:pPr>
    <w:rPr>
      <w:lang w:eastAsia="en-US"/>
    </w:rPr>
  </w:style>
  <w:style w:type="paragraph" w:styleId="Title">
    <w:name w:val="Title"/>
    <w:basedOn w:val="Normal"/>
    <w:qFormat/>
    <w:rsid w:val="00977387"/>
    <w:pPr>
      <w:jc w:val="center"/>
    </w:pPr>
    <w:rPr>
      <w:b/>
      <w:bCs/>
      <w:lang w:eastAsia="en-US"/>
    </w:rPr>
  </w:style>
  <w:style w:type="paragraph" w:styleId="BodyText2">
    <w:name w:val="Body Text 2"/>
    <w:basedOn w:val="Normal"/>
    <w:rsid w:val="001D7688"/>
    <w:pPr>
      <w:spacing w:after="120" w:line="480" w:lineRule="auto"/>
    </w:pPr>
  </w:style>
  <w:style w:type="paragraph" w:customStyle="1" w:styleId="FPMredflyer">
    <w:name w:val="FPM red flyer"/>
    <w:basedOn w:val="Normal"/>
    <w:rsid w:val="001D7688"/>
    <w:pPr>
      <w:jc w:val="center"/>
    </w:pPr>
    <w:rPr>
      <w:rFonts w:ascii="Tahoma" w:hAnsi="Tahoma" w:cs="Tahoma"/>
      <w:b/>
      <w:bCs/>
      <w:color w:val="FF0000"/>
      <w:lang w:eastAsia="en-US"/>
    </w:rPr>
  </w:style>
  <w:style w:type="paragraph" w:styleId="NormalWeb">
    <w:name w:val="Normal (Web)"/>
    <w:basedOn w:val="Normal"/>
    <w:rsid w:val="001D7688"/>
    <w:pPr>
      <w:spacing w:before="100" w:beforeAutospacing="1" w:after="100" w:afterAutospacing="1"/>
    </w:pPr>
    <w:rPr>
      <w:rFonts w:ascii="Arial Unicode MS" w:eastAsia="Arial Unicode MS" w:hAnsi="Arial Unicode MS"/>
      <w:lang w:eastAsia="en-US"/>
    </w:rPr>
  </w:style>
  <w:style w:type="character" w:customStyle="1" w:styleId="ParagrahHeadingChar">
    <w:name w:val="Paragrah Heading Char"/>
    <w:link w:val="ParagrahHeading"/>
    <w:locked/>
    <w:rsid w:val="00637C87"/>
    <w:rPr>
      <w:rFonts w:ascii="Arial" w:hAnsi="Arial" w:cs="Arial"/>
      <w:b/>
      <w:bCs/>
      <w:sz w:val="24"/>
      <w:szCs w:val="22"/>
      <w:lang w:val="en-GB" w:eastAsia="en-GB" w:bidi="ar-SA"/>
    </w:rPr>
  </w:style>
  <w:style w:type="paragraph" w:customStyle="1" w:styleId="Default">
    <w:name w:val="Default"/>
    <w:rsid w:val="00A92215"/>
    <w:pPr>
      <w:autoSpaceDE w:val="0"/>
      <w:autoSpaceDN w:val="0"/>
      <w:adjustRightInd w:val="0"/>
    </w:pPr>
    <w:rPr>
      <w:rFonts w:ascii="Arial" w:hAnsi="Arial" w:cs="Arial"/>
      <w:color w:val="000000"/>
      <w:sz w:val="24"/>
      <w:szCs w:val="24"/>
    </w:rPr>
  </w:style>
  <w:style w:type="character" w:styleId="Hyperlink">
    <w:name w:val="Hyperlink"/>
    <w:rsid w:val="00A92215"/>
    <w:rPr>
      <w:color w:val="0000FF"/>
      <w:u w:val="single"/>
    </w:rPr>
  </w:style>
  <w:style w:type="paragraph" w:styleId="BalloonText">
    <w:name w:val="Balloon Text"/>
    <w:basedOn w:val="Normal"/>
    <w:link w:val="BalloonTextChar"/>
    <w:rsid w:val="006801EC"/>
    <w:rPr>
      <w:rFonts w:ascii="Tahoma" w:hAnsi="Tahoma" w:cs="Tahoma"/>
      <w:sz w:val="16"/>
      <w:szCs w:val="16"/>
    </w:rPr>
  </w:style>
  <w:style w:type="character" w:customStyle="1" w:styleId="BalloonTextChar">
    <w:name w:val="Balloon Text Char"/>
    <w:link w:val="BalloonText"/>
    <w:rsid w:val="00680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45404">
      <w:bodyDiv w:val="1"/>
      <w:marLeft w:val="0"/>
      <w:marRight w:val="0"/>
      <w:marTop w:val="0"/>
      <w:marBottom w:val="0"/>
      <w:divBdr>
        <w:top w:val="none" w:sz="0" w:space="0" w:color="auto"/>
        <w:left w:val="none" w:sz="0" w:space="0" w:color="auto"/>
        <w:bottom w:val="none" w:sz="0" w:space="0" w:color="auto"/>
        <w:right w:val="none" w:sz="0" w:space="0" w:color="auto"/>
      </w:divBdr>
    </w:div>
    <w:div w:id="1326519798">
      <w:bodyDiv w:val="1"/>
      <w:marLeft w:val="0"/>
      <w:marRight w:val="0"/>
      <w:marTop w:val="0"/>
      <w:marBottom w:val="0"/>
      <w:divBdr>
        <w:top w:val="none" w:sz="0" w:space="0" w:color="auto"/>
        <w:left w:val="none" w:sz="0" w:space="0" w:color="auto"/>
        <w:bottom w:val="none" w:sz="0" w:space="0" w:color="auto"/>
        <w:right w:val="none" w:sz="0" w:space="0" w:color="auto"/>
      </w:divBdr>
    </w:div>
    <w:div w:id="20773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9403421" TargetMode="External"/><Relationship Id="rId3" Type="http://schemas.openxmlformats.org/officeDocument/2006/relationships/settings" Target="settings.xml"/><Relationship Id="rId7" Type="http://schemas.openxmlformats.org/officeDocument/2006/relationships/hyperlink" Target="http://www.ncbi.nlm.nih.gov/entrez/query.fcgi?cmd=Retrieve&amp;db=pubmed&amp;dopt=Abstract&amp;list_uids=8114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Nurse Practitioner Referral for Xrays Protocol</vt:lpstr>
    </vt:vector>
  </TitlesOfParts>
  <Company>Lincolnshire NHS Shared Services</Company>
  <LinksUpToDate>false</LinksUpToDate>
  <CharactersWithSpaces>11545</CharactersWithSpaces>
  <SharedDoc>false</SharedDoc>
  <HLinks>
    <vt:vector size="12" baseType="variant">
      <vt:variant>
        <vt:i4>6750215</vt:i4>
      </vt:variant>
      <vt:variant>
        <vt:i4>3</vt:i4>
      </vt:variant>
      <vt:variant>
        <vt:i4>0</vt:i4>
      </vt:variant>
      <vt:variant>
        <vt:i4>5</vt:i4>
      </vt:variant>
      <vt:variant>
        <vt:lpwstr>http://www.ncbi.nlm.nih.gov/entrez/query.fcgi?cmd=Retrieve&amp;db=pubmed&amp;dopt=Abstract&amp;list_uids=9403421</vt:lpwstr>
      </vt:variant>
      <vt:variant>
        <vt:lpwstr/>
      </vt:variant>
      <vt:variant>
        <vt:i4>6684676</vt:i4>
      </vt:variant>
      <vt:variant>
        <vt:i4>0</vt:i4>
      </vt:variant>
      <vt:variant>
        <vt:i4>0</vt:i4>
      </vt:variant>
      <vt:variant>
        <vt:i4>5</vt:i4>
      </vt:variant>
      <vt:variant>
        <vt:lpwstr>http://www.ncbi.nlm.nih.gov/entrez/query.fcgi?cmd=Retrieve&amp;db=pubmed&amp;dopt=Abstract&amp;list_uids=8114236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Referral for Xrays Protocol</dc:title>
  <dc:subject/>
  <dc:creator>IT Support</dc:creator>
  <cp:keywords/>
  <cp:lastModifiedBy>TURNER, Nick (LINCOLNSHIRE PARTNERSHIP NHS FOUNDATION TRUST)</cp:lastModifiedBy>
  <cp:revision>2</cp:revision>
  <cp:lastPrinted>2019-06-19T10:08:00Z</cp:lastPrinted>
  <dcterms:created xsi:type="dcterms:W3CDTF">2023-05-04T11:28:00Z</dcterms:created>
  <dcterms:modified xsi:type="dcterms:W3CDTF">2023-05-04T11:28:00Z</dcterms:modified>
</cp:coreProperties>
</file>