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092" w:rsidRDefault="00D60092" w:rsidP="00197B69">
      <w:pPr>
        <w:rPr>
          <w:b/>
          <w:sz w:val="56"/>
          <w:szCs w:val="56"/>
        </w:rPr>
      </w:pPr>
      <w:bookmarkStart w:id="0" w:name="_GoBack"/>
      <w:bookmarkEnd w:id="0"/>
    </w:p>
    <w:p w:rsidR="009E28AA" w:rsidRDefault="009E28AA" w:rsidP="00197B69">
      <w:pPr>
        <w:rPr>
          <w:b/>
          <w:sz w:val="56"/>
          <w:szCs w:val="56"/>
        </w:rPr>
      </w:pPr>
    </w:p>
    <w:p w:rsidR="00D60092" w:rsidRDefault="00D60092" w:rsidP="00D60092">
      <w:pPr>
        <w:jc w:val="center"/>
        <w:rPr>
          <w:b/>
          <w:sz w:val="56"/>
          <w:szCs w:val="56"/>
        </w:rPr>
      </w:pPr>
    </w:p>
    <w:p w:rsidR="00EE1CEE" w:rsidRPr="00CE2E59" w:rsidRDefault="008C1121" w:rsidP="00D60092">
      <w:pPr>
        <w:jc w:val="center"/>
        <w:rPr>
          <w:b/>
          <w:sz w:val="44"/>
          <w:szCs w:val="56"/>
        </w:rPr>
      </w:pPr>
      <w:r w:rsidRPr="00CE2E59">
        <w:rPr>
          <w:b/>
          <w:sz w:val="44"/>
          <w:szCs w:val="56"/>
        </w:rPr>
        <w:t>Policy for the</w:t>
      </w:r>
      <w:r w:rsidR="00EE1CEE" w:rsidRPr="00CE2E59">
        <w:rPr>
          <w:b/>
          <w:sz w:val="44"/>
          <w:szCs w:val="56"/>
        </w:rPr>
        <w:t xml:space="preserve"> Requesting </w:t>
      </w:r>
      <w:r w:rsidR="0086702B" w:rsidRPr="00CE2E59">
        <w:rPr>
          <w:b/>
          <w:sz w:val="44"/>
          <w:szCs w:val="56"/>
        </w:rPr>
        <w:t>of Ultrasound Examinations for Non-Medical Advanced Practitioners in Primary Care</w:t>
      </w:r>
      <w:r w:rsidR="00CE2E59">
        <w:rPr>
          <w:b/>
          <w:sz w:val="44"/>
          <w:szCs w:val="56"/>
        </w:rPr>
        <w:t>/Community</w:t>
      </w:r>
    </w:p>
    <w:p w:rsidR="00D60092" w:rsidRPr="00EE1CEE" w:rsidRDefault="00D60092" w:rsidP="00EE1CEE"/>
    <w:tbl>
      <w:tblPr>
        <w:tblStyle w:val="TableGrid"/>
        <w:tblW w:w="9923" w:type="dxa"/>
        <w:tblInd w:w="-176" w:type="dxa"/>
        <w:tblLook w:val="04A0" w:firstRow="1" w:lastRow="0" w:firstColumn="1" w:lastColumn="0" w:noHBand="0" w:noVBand="1"/>
      </w:tblPr>
      <w:tblGrid>
        <w:gridCol w:w="3970"/>
        <w:gridCol w:w="5953"/>
      </w:tblGrid>
      <w:tr w:rsidR="00EE1CEE" w:rsidRPr="00EE1CEE" w:rsidTr="00D853DE">
        <w:tc>
          <w:tcPr>
            <w:tcW w:w="3970" w:type="dxa"/>
          </w:tcPr>
          <w:p w:rsidR="00EE1CEE" w:rsidRPr="00EE1CEE" w:rsidRDefault="00EE1CEE" w:rsidP="00DA4ED1">
            <w:pPr>
              <w:spacing w:line="360" w:lineRule="auto"/>
            </w:pPr>
            <w:r w:rsidRPr="00EE1CEE">
              <w:t>Version:</w:t>
            </w:r>
          </w:p>
        </w:tc>
        <w:tc>
          <w:tcPr>
            <w:tcW w:w="5953" w:type="dxa"/>
          </w:tcPr>
          <w:p w:rsidR="00D60092" w:rsidRPr="00EE1CEE" w:rsidRDefault="00DA4ED1" w:rsidP="00DA4ED1">
            <w:pPr>
              <w:spacing w:line="360" w:lineRule="auto"/>
            </w:pPr>
            <w:r>
              <w:t>1.0</w:t>
            </w:r>
          </w:p>
        </w:tc>
      </w:tr>
      <w:tr w:rsidR="00EE1CEE" w:rsidRPr="00EE1CEE" w:rsidTr="00D853DE">
        <w:tc>
          <w:tcPr>
            <w:tcW w:w="3970" w:type="dxa"/>
          </w:tcPr>
          <w:p w:rsidR="00EE1CEE" w:rsidRPr="00EE1CEE" w:rsidRDefault="00EE1CEE" w:rsidP="00DA4ED1">
            <w:pPr>
              <w:spacing w:line="360" w:lineRule="auto"/>
            </w:pPr>
            <w:r w:rsidRPr="00EE1CEE">
              <w:t>New or Replacement:</w:t>
            </w:r>
          </w:p>
        </w:tc>
        <w:tc>
          <w:tcPr>
            <w:tcW w:w="5953" w:type="dxa"/>
          </w:tcPr>
          <w:p w:rsidR="00D60092" w:rsidRPr="00EE1CEE" w:rsidRDefault="00466EDB" w:rsidP="00DA4ED1">
            <w:pPr>
              <w:spacing w:line="360" w:lineRule="auto"/>
            </w:pPr>
            <w:r>
              <w:t>New</w:t>
            </w:r>
          </w:p>
        </w:tc>
      </w:tr>
      <w:tr w:rsidR="00EE1CEE" w:rsidRPr="00EE1CEE" w:rsidTr="00D853DE">
        <w:tc>
          <w:tcPr>
            <w:tcW w:w="3970" w:type="dxa"/>
          </w:tcPr>
          <w:p w:rsidR="00EE1CEE" w:rsidRPr="00EE1CEE" w:rsidRDefault="00EE1CEE" w:rsidP="00DA4ED1">
            <w:pPr>
              <w:spacing w:line="360" w:lineRule="auto"/>
            </w:pPr>
            <w:r w:rsidRPr="00EE1CEE">
              <w:t>Policy number:</w:t>
            </w:r>
          </w:p>
        </w:tc>
        <w:tc>
          <w:tcPr>
            <w:tcW w:w="5953" w:type="dxa"/>
          </w:tcPr>
          <w:p w:rsidR="00EE1CEE" w:rsidRPr="005A4C85" w:rsidRDefault="00EE1CEE" w:rsidP="00DA4ED1">
            <w:pPr>
              <w:spacing w:line="360" w:lineRule="auto"/>
              <w:rPr>
                <w:b/>
              </w:rPr>
            </w:pPr>
          </w:p>
        </w:tc>
      </w:tr>
      <w:tr w:rsidR="00EE1CEE" w:rsidRPr="00EE1CEE" w:rsidTr="00D853DE">
        <w:tc>
          <w:tcPr>
            <w:tcW w:w="3970" w:type="dxa"/>
          </w:tcPr>
          <w:p w:rsidR="00EE1CEE" w:rsidRPr="00EE1CEE" w:rsidRDefault="00EE1CEE" w:rsidP="00DA4ED1">
            <w:pPr>
              <w:spacing w:line="360" w:lineRule="auto"/>
            </w:pPr>
            <w:r w:rsidRPr="00EE1CEE">
              <w:t>Document author(s):</w:t>
            </w:r>
          </w:p>
        </w:tc>
        <w:tc>
          <w:tcPr>
            <w:tcW w:w="5953" w:type="dxa"/>
          </w:tcPr>
          <w:p w:rsidR="00D853DE" w:rsidRPr="00EE1CEE" w:rsidRDefault="00653C47" w:rsidP="00DA4ED1">
            <w:pPr>
              <w:spacing w:line="360" w:lineRule="auto"/>
            </w:pPr>
            <w:r>
              <w:t>Catherine Kirkpatrick</w:t>
            </w:r>
          </w:p>
        </w:tc>
      </w:tr>
      <w:tr w:rsidR="00EE1CEE" w:rsidRPr="00EE1CEE" w:rsidTr="00D853DE">
        <w:tc>
          <w:tcPr>
            <w:tcW w:w="3970" w:type="dxa"/>
          </w:tcPr>
          <w:p w:rsidR="00EE1CEE" w:rsidRPr="00EE1CEE" w:rsidRDefault="00EE1CEE" w:rsidP="00DA4ED1">
            <w:pPr>
              <w:spacing w:line="360" w:lineRule="auto"/>
            </w:pPr>
            <w:r w:rsidRPr="00EE1CEE">
              <w:t>Contributor(s):</w:t>
            </w:r>
          </w:p>
        </w:tc>
        <w:tc>
          <w:tcPr>
            <w:tcW w:w="5953" w:type="dxa"/>
          </w:tcPr>
          <w:p w:rsidR="007502E3" w:rsidRDefault="0086702B" w:rsidP="00DA4ED1">
            <w:pPr>
              <w:spacing w:line="360" w:lineRule="auto"/>
            </w:pPr>
            <w:r>
              <w:t>Paul Clark – Radiology Operations Manager ULHT</w:t>
            </w:r>
          </w:p>
          <w:p w:rsidR="0086702B" w:rsidRDefault="0086702B" w:rsidP="00DA4ED1">
            <w:pPr>
              <w:spacing w:line="360" w:lineRule="auto"/>
            </w:pPr>
            <w:r>
              <w:t>Sarah Clapham – Ultrasound Services Manager ULHT</w:t>
            </w:r>
          </w:p>
          <w:p w:rsidR="0086702B" w:rsidRDefault="0086702B" w:rsidP="0086702B">
            <w:pPr>
              <w:rPr>
                <w:rFonts w:cs="Arial"/>
                <w:lang w:eastAsia="en-GB"/>
              </w:rPr>
            </w:pPr>
            <w:r>
              <w:t xml:space="preserve">Angela Ashcroft – </w:t>
            </w:r>
            <w:r>
              <w:rPr>
                <w:rFonts w:cs="Arial"/>
                <w:lang w:eastAsia="en-GB"/>
              </w:rPr>
              <w:t>Head of Commissioning</w:t>
            </w:r>
          </w:p>
          <w:p w:rsidR="0086702B" w:rsidRDefault="0086702B" w:rsidP="0086702B">
            <w:pPr>
              <w:rPr>
                <w:rFonts w:cs="Arial"/>
                <w:lang w:eastAsia="en-GB"/>
              </w:rPr>
            </w:pPr>
            <w:r>
              <w:rPr>
                <w:rFonts w:cs="Arial"/>
                <w:lang w:eastAsia="en-GB"/>
              </w:rPr>
              <w:t>Lincolnshire East Clinical Commissioning Group</w:t>
            </w:r>
          </w:p>
          <w:p w:rsidR="0086702B" w:rsidRPr="00EE1CEE" w:rsidRDefault="0086702B" w:rsidP="00DA4ED1">
            <w:pPr>
              <w:spacing w:line="360" w:lineRule="auto"/>
            </w:pPr>
          </w:p>
        </w:tc>
      </w:tr>
      <w:tr w:rsidR="00EE1CEE" w:rsidRPr="00EE1CEE" w:rsidTr="00D853DE">
        <w:tc>
          <w:tcPr>
            <w:tcW w:w="3970" w:type="dxa"/>
          </w:tcPr>
          <w:p w:rsidR="00EE1CEE" w:rsidRPr="00EE1CEE" w:rsidRDefault="00EE1CEE" w:rsidP="00DA4ED1">
            <w:pPr>
              <w:spacing w:line="360" w:lineRule="auto"/>
            </w:pPr>
          </w:p>
        </w:tc>
        <w:tc>
          <w:tcPr>
            <w:tcW w:w="5953" w:type="dxa"/>
          </w:tcPr>
          <w:p w:rsidR="00D60092" w:rsidRPr="00EE1CEE" w:rsidRDefault="00D60092" w:rsidP="00DA4ED1">
            <w:pPr>
              <w:spacing w:line="360" w:lineRule="auto"/>
            </w:pPr>
          </w:p>
        </w:tc>
      </w:tr>
      <w:tr w:rsidR="00EE1CEE" w:rsidRPr="00EE1CEE" w:rsidTr="00D853DE">
        <w:tc>
          <w:tcPr>
            <w:tcW w:w="3970" w:type="dxa"/>
          </w:tcPr>
          <w:p w:rsidR="00EE1CEE" w:rsidRPr="00EE1CEE" w:rsidRDefault="00EE1CEE" w:rsidP="00DA4ED1">
            <w:pPr>
              <w:spacing w:line="360" w:lineRule="auto"/>
            </w:pPr>
            <w:r w:rsidRPr="00EE1CEE">
              <w:t>Approved by (name of committee):</w:t>
            </w:r>
          </w:p>
        </w:tc>
        <w:tc>
          <w:tcPr>
            <w:tcW w:w="5953" w:type="dxa"/>
          </w:tcPr>
          <w:p w:rsidR="00D60092" w:rsidRDefault="0086702B" w:rsidP="00DA4ED1">
            <w:pPr>
              <w:spacing w:line="360" w:lineRule="auto"/>
            </w:pPr>
            <w:r>
              <w:t>Radiology Clinical Governance</w:t>
            </w:r>
          </w:p>
          <w:p w:rsidR="0086702B" w:rsidRPr="00EE1CEE" w:rsidRDefault="0086702B" w:rsidP="00DA4ED1">
            <w:pPr>
              <w:spacing w:line="360" w:lineRule="auto"/>
            </w:pPr>
            <w:r>
              <w:t xml:space="preserve">Medical Exposures Committee </w:t>
            </w:r>
          </w:p>
        </w:tc>
      </w:tr>
      <w:tr w:rsidR="00EE1CEE" w:rsidRPr="00EE1CEE" w:rsidTr="00D853DE">
        <w:tc>
          <w:tcPr>
            <w:tcW w:w="3970" w:type="dxa"/>
          </w:tcPr>
          <w:p w:rsidR="00EE1CEE" w:rsidRPr="00EE1CEE" w:rsidRDefault="00EE1CEE" w:rsidP="00DA4ED1">
            <w:pPr>
              <w:spacing w:line="360" w:lineRule="auto"/>
            </w:pPr>
            <w:r w:rsidRPr="00EE1CEE">
              <w:t>Date approved:</w:t>
            </w:r>
          </w:p>
        </w:tc>
        <w:tc>
          <w:tcPr>
            <w:tcW w:w="5953" w:type="dxa"/>
          </w:tcPr>
          <w:p w:rsidR="0082779F" w:rsidRPr="00EE1CEE" w:rsidRDefault="0082779F" w:rsidP="00DA4ED1">
            <w:pPr>
              <w:spacing w:line="360" w:lineRule="auto"/>
            </w:pPr>
            <w:r>
              <w:t xml:space="preserve"> </w:t>
            </w:r>
          </w:p>
        </w:tc>
      </w:tr>
      <w:tr w:rsidR="00EE1CEE" w:rsidRPr="00EE1CEE" w:rsidTr="00D853DE">
        <w:tc>
          <w:tcPr>
            <w:tcW w:w="3970" w:type="dxa"/>
          </w:tcPr>
          <w:p w:rsidR="00EE1CEE" w:rsidRPr="00EE1CEE" w:rsidRDefault="00EE1CEE" w:rsidP="00DA4ED1">
            <w:pPr>
              <w:spacing w:line="360" w:lineRule="auto"/>
            </w:pPr>
            <w:r w:rsidRPr="00EE1CEE">
              <w:t>Review date:</w:t>
            </w:r>
          </w:p>
        </w:tc>
        <w:tc>
          <w:tcPr>
            <w:tcW w:w="5953" w:type="dxa"/>
          </w:tcPr>
          <w:p w:rsidR="00D60092" w:rsidRPr="00EE1CEE" w:rsidRDefault="00D60092" w:rsidP="00DA4ED1">
            <w:pPr>
              <w:spacing w:line="360" w:lineRule="auto"/>
            </w:pPr>
          </w:p>
        </w:tc>
      </w:tr>
    </w:tbl>
    <w:p w:rsidR="00EE1CEE" w:rsidRPr="00EE1CEE" w:rsidRDefault="00EE1CEE" w:rsidP="00EE1CEE"/>
    <w:p w:rsidR="00EE1CEE" w:rsidRPr="00EE1CEE" w:rsidRDefault="00EE1CEE" w:rsidP="00EE1CEE"/>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2"/>
      </w:tblGrid>
      <w:tr w:rsidR="00EE1CEE" w:rsidRPr="00EE1CEE" w:rsidTr="00A710BA">
        <w:tc>
          <w:tcPr>
            <w:tcW w:w="1418" w:type="dxa"/>
            <w:tcBorders>
              <w:bottom w:val="single" w:sz="4" w:space="0" w:color="auto"/>
            </w:tcBorders>
            <w:shd w:val="clear" w:color="auto" w:fill="auto"/>
            <w:vAlign w:val="bottom"/>
          </w:tcPr>
          <w:p w:rsidR="00EE1CEE" w:rsidRDefault="00EE1CEE" w:rsidP="00EE1CEE">
            <w:r w:rsidRPr="00EE1CEE">
              <w:t>Policy is:</w:t>
            </w:r>
          </w:p>
          <w:p w:rsidR="003E7995" w:rsidRPr="00EE1CEE" w:rsidRDefault="003E7995" w:rsidP="00EE1CEE"/>
        </w:tc>
        <w:tc>
          <w:tcPr>
            <w:tcW w:w="8222" w:type="dxa"/>
            <w:tcBorders>
              <w:bottom w:val="single" w:sz="4" w:space="0" w:color="auto"/>
            </w:tcBorders>
            <w:vAlign w:val="bottom"/>
          </w:tcPr>
          <w:p w:rsidR="00EE1CEE" w:rsidRDefault="00EE1CEE" w:rsidP="00EE1CEE">
            <w:r w:rsidRPr="00EE1CEE">
              <w:t>Trust-wide</w:t>
            </w:r>
          </w:p>
          <w:p w:rsidR="003E7995" w:rsidRPr="00EE1CEE" w:rsidRDefault="003E7995" w:rsidP="00EE1CEE"/>
        </w:tc>
      </w:tr>
    </w:tbl>
    <w:p w:rsidR="00EE1CEE" w:rsidRPr="00EE1CEE" w:rsidRDefault="00EE1CEE" w:rsidP="00EE1CEE"/>
    <w:p w:rsidR="00DA4ED1" w:rsidRPr="0086702B" w:rsidRDefault="00DA4ED1" w:rsidP="00DA4ED1">
      <w:pPr>
        <w:rPr>
          <w:b/>
          <w:bCs/>
          <w:sz w:val="22"/>
        </w:rPr>
      </w:pPr>
      <w:r w:rsidRPr="0086702B">
        <w:rPr>
          <w:b/>
          <w:bCs/>
          <w:sz w:val="22"/>
        </w:rPr>
        <w:t>Version History Log</w:t>
      </w:r>
    </w:p>
    <w:p w:rsidR="00DA4ED1" w:rsidRPr="0086702B" w:rsidRDefault="00DA4ED1" w:rsidP="00DA4ED1">
      <w:pPr>
        <w:rPr>
          <w:sz w:val="22"/>
        </w:rPr>
      </w:pPr>
      <w:r w:rsidRPr="0086702B">
        <w:rPr>
          <w:sz w:val="22"/>
        </w:rPr>
        <w:t>This table should detail the version history for this document.   It should detail the key changes when a version is amended.</w:t>
      </w:r>
    </w:p>
    <w:p w:rsidR="00DA4ED1" w:rsidRPr="0086702B" w:rsidRDefault="00DA4ED1" w:rsidP="00DA4ED1">
      <w:pPr>
        <w:rPr>
          <w:sz w:val="22"/>
        </w:rPr>
      </w:pPr>
    </w:p>
    <w:tbl>
      <w:tblPr>
        <w:tblW w:w="0" w:type="auto"/>
        <w:tblCellMar>
          <w:left w:w="0" w:type="dxa"/>
          <w:right w:w="0" w:type="dxa"/>
        </w:tblCellMar>
        <w:tblLook w:val="04A0" w:firstRow="1" w:lastRow="0" w:firstColumn="1" w:lastColumn="0" w:noHBand="0" w:noVBand="1"/>
      </w:tblPr>
      <w:tblGrid>
        <w:gridCol w:w="1242"/>
        <w:gridCol w:w="1985"/>
        <w:gridCol w:w="5953"/>
      </w:tblGrid>
      <w:tr w:rsidR="00DA4ED1" w:rsidRPr="0086702B" w:rsidTr="00DA4ED1">
        <w:trPr>
          <w:trHeight w:val="297"/>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4ED1" w:rsidRPr="0086702B" w:rsidRDefault="00DA4ED1" w:rsidP="0040223F">
            <w:pPr>
              <w:rPr>
                <w:b/>
                <w:bCs/>
                <w:sz w:val="22"/>
              </w:rPr>
            </w:pPr>
            <w:r w:rsidRPr="0086702B">
              <w:rPr>
                <w:b/>
                <w:bCs/>
                <w:sz w:val="22"/>
              </w:rPr>
              <w:t>Version</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4ED1" w:rsidRPr="0086702B" w:rsidRDefault="00DA4ED1" w:rsidP="0040223F">
            <w:pPr>
              <w:rPr>
                <w:b/>
                <w:bCs/>
                <w:sz w:val="22"/>
              </w:rPr>
            </w:pPr>
            <w:r w:rsidRPr="0086702B">
              <w:rPr>
                <w:b/>
                <w:bCs/>
                <w:sz w:val="22"/>
              </w:rPr>
              <w:t>Date Implemented</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4ED1" w:rsidRPr="0086702B" w:rsidRDefault="00DA4ED1" w:rsidP="0040223F">
            <w:pPr>
              <w:rPr>
                <w:b/>
                <w:bCs/>
                <w:sz w:val="22"/>
              </w:rPr>
            </w:pPr>
            <w:r w:rsidRPr="0086702B">
              <w:rPr>
                <w:b/>
                <w:bCs/>
                <w:sz w:val="22"/>
              </w:rPr>
              <w:t>Details of key changes</w:t>
            </w:r>
          </w:p>
        </w:tc>
      </w:tr>
      <w:tr w:rsidR="00DA4ED1" w:rsidRPr="0086702B" w:rsidTr="00DA4ED1">
        <w:trPr>
          <w:trHeight w:val="361"/>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ED1" w:rsidRPr="0086702B" w:rsidRDefault="00DA4ED1" w:rsidP="0040223F">
            <w:pPr>
              <w:rPr>
                <w:sz w:val="22"/>
              </w:rPr>
            </w:pPr>
            <w:r w:rsidRPr="0086702B">
              <w:rPr>
                <w:sz w:val="22"/>
              </w:rPr>
              <w:t>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A4ED1" w:rsidRPr="0086702B" w:rsidRDefault="00DA4ED1" w:rsidP="0040223F">
            <w:pPr>
              <w:rPr>
                <w:sz w:val="22"/>
              </w:rPr>
            </w:pPr>
          </w:p>
        </w:tc>
        <w:tc>
          <w:tcPr>
            <w:tcW w:w="5953" w:type="dxa"/>
            <w:tcBorders>
              <w:top w:val="nil"/>
              <w:left w:val="nil"/>
              <w:bottom w:val="single" w:sz="8" w:space="0" w:color="auto"/>
              <w:right w:val="single" w:sz="8" w:space="0" w:color="auto"/>
            </w:tcBorders>
            <w:tcMar>
              <w:top w:w="0" w:type="dxa"/>
              <w:left w:w="108" w:type="dxa"/>
              <w:bottom w:w="0" w:type="dxa"/>
              <w:right w:w="108" w:type="dxa"/>
            </w:tcMar>
          </w:tcPr>
          <w:p w:rsidR="00DA4ED1" w:rsidRPr="0086702B" w:rsidRDefault="00DA4ED1" w:rsidP="0040223F">
            <w:pPr>
              <w:rPr>
                <w:sz w:val="22"/>
              </w:rPr>
            </w:pPr>
            <w:r w:rsidRPr="0086702B">
              <w:rPr>
                <w:sz w:val="22"/>
              </w:rPr>
              <w:t xml:space="preserve">New document </w:t>
            </w:r>
          </w:p>
        </w:tc>
      </w:tr>
      <w:tr w:rsidR="00DA4ED1" w:rsidRPr="0086702B" w:rsidTr="00DA4ED1">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4ED1" w:rsidRPr="0086702B" w:rsidRDefault="00DA4ED1" w:rsidP="0040223F">
            <w:pPr>
              <w:rPr>
                <w:sz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DA4ED1" w:rsidRPr="0086702B" w:rsidRDefault="00DA4ED1" w:rsidP="0040223F">
            <w:pPr>
              <w:rPr>
                <w:sz w:val="22"/>
              </w:rPr>
            </w:pPr>
          </w:p>
        </w:tc>
        <w:tc>
          <w:tcPr>
            <w:tcW w:w="5953" w:type="dxa"/>
            <w:tcBorders>
              <w:top w:val="nil"/>
              <w:left w:val="nil"/>
              <w:bottom w:val="single" w:sz="8" w:space="0" w:color="auto"/>
              <w:right w:val="single" w:sz="8" w:space="0" w:color="auto"/>
            </w:tcBorders>
            <w:tcMar>
              <w:top w:w="0" w:type="dxa"/>
              <w:left w:w="108" w:type="dxa"/>
              <w:bottom w:w="0" w:type="dxa"/>
              <w:right w:w="108" w:type="dxa"/>
            </w:tcMar>
          </w:tcPr>
          <w:p w:rsidR="00DA4ED1" w:rsidRPr="0086702B" w:rsidRDefault="00DA4ED1" w:rsidP="0040223F">
            <w:pPr>
              <w:rPr>
                <w:sz w:val="22"/>
              </w:rPr>
            </w:pPr>
          </w:p>
        </w:tc>
      </w:tr>
    </w:tbl>
    <w:p w:rsidR="00EE1CEE" w:rsidRPr="00D60092" w:rsidRDefault="00EE1CEE" w:rsidP="00EE1CEE">
      <w:pPr>
        <w:rPr>
          <w:b/>
          <w:sz w:val="28"/>
          <w:szCs w:val="28"/>
        </w:rPr>
      </w:pPr>
      <w:r w:rsidRPr="00EE1CEE">
        <w:br w:type="page"/>
      </w:r>
      <w:bookmarkStart w:id="1" w:name="_Toc360802727"/>
      <w:r w:rsidRPr="00D60092">
        <w:rPr>
          <w:b/>
          <w:sz w:val="28"/>
          <w:szCs w:val="28"/>
        </w:rPr>
        <w:lastRenderedPageBreak/>
        <w:t>Contents</w:t>
      </w:r>
      <w:bookmarkEnd w:id="1"/>
    </w:p>
    <w:p w:rsidR="00EE1CEE" w:rsidRDefault="00EE1CEE" w:rsidP="00EE1CEE"/>
    <w:p w:rsidR="00DA4ED1" w:rsidRDefault="00DA4ED1" w:rsidP="00EE1CEE"/>
    <w:p w:rsidR="00F82E58" w:rsidRDefault="00197B69" w:rsidP="009D1EDA">
      <w:pPr>
        <w:pStyle w:val="ListParagraph"/>
        <w:numPr>
          <w:ilvl w:val="0"/>
          <w:numId w:val="10"/>
        </w:numPr>
      </w:pPr>
      <w:r>
        <w:t>Introduction</w:t>
      </w:r>
      <w:r>
        <w:tab/>
      </w:r>
      <w:r>
        <w:tab/>
      </w:r>
      <w:r>
        <w:tab/>
      </w:r>
      <w:r>
        <w:tab/>
      </w:r>
      <w:r>
        <w:tab/>
      </w:r>
      <w:r>
        <w:tab/>
      </w:r>
      <w:r>
        <w:tab/>
      </w:r>
      <w:r>
        <w:tab/>
      </w:r>
    </w:p>
    <w:p w:rsidR="009D1EDA" w:rsidRDefault="00197B69" w:rsidP="009D1EDA">
      <w:pPr>
        <w:pStyle w:val="ListParagraph"/>
        <w:numPr>
          <w:ilvl w:val="0"/>
          <w:numId w:val="10"/>
        </w:numPr>
      </w:pPr>
      <w:r>
        <w:t>Legal Boundaries</w:t>
      </w:r>
      <w:r>
        <w:tab/>
      </w:r>
      <w:r>
        <w:tab/>
      </w:r>
      <w:r>
        <w:tab/>
      </w:r>
      <w:r>
        <w:tab/>
      </w:r>
      <w:r>
        <w:tab/>
      </w:r>
      <w:r>
        <w:tab/>
      </w:r>
      <w:r>
        <w:tab/>
      </w:r>
    </w:p>
    <w:p w:rsidR="009D1EDA" w:rsidRDefault="00197B69" w:rsidP="009D1EDA">
      <w:pPr>
        <w:pStyle w:val="ListParagraph"/>
        <w:numPr>
          <w:ilvl w:val="0"/>
          <w:numId w:val="10"/>
        </w:numPr>
      </w:pPr>
      <w:r>
        <w:t>Purpose of Policy</w:t>
      </w:r>
      <w:r>
        <w:tab/>
      </w:r>
      <w:r>
        <w:tab/>
      </w:r>
      <w:r>
        <w:tab/>
      </w:r>
      <w:r>
        <w:tab/>
      </w:r>
      <w:r>
        <w:tab/>
      </w:r>
      <w:r>
        <w:tab/>
      </w:r>
      <w:r>
        <w:tab/>
      </w:r>
    </w:p>
    <w:p w:rsidR="009D1EDA" w:rsidRDefault="00197B69" w:rsidP="009D1EDA">
      <w:pPr>
        <w:pStyle w:val="ListParagraph"/>
        <w:numPr>
          <w:ilvl w:val="0"/>
          <w:numId w:val="10"/>
        </w:numPr>
      </w:pPr>
      <w:r>
        <w:t>Objectives</w:t>
      </w:r>
      <w:r>
        <w:tab/>
      </w:r>
      <w:r>
        <w:tab/>
      </w:r>
      <w:r>
        <w:tab/>
      </w:r>
      <w:r>
        <w:tab/>
      </w:r>
      <w:r>
        <w:tab/>
      </w:r>
      <w:r>
        <w:tab/>
      </w:r>
      <w:r>
        <w:tab/>
      </w:r>
      <w:r>
        <w:tab/>
      </w:r>
    </w:p>
    <w:p w:rsidR="009D1EDA" w:rsidRDefault="00197B69" w:rsidP="009D1EDA">
      <w:pPr>
        <w:pStyle w:val="ListParagraph"/>
        <w:numPr>
          <w:ilvl w:val="0"/>
          <w:numId w:val="10"/>
        </w:numPr>
      </w:pPr>
      <w:r>
        <w:t>Scope</w:t>
      </w:r>
      <w:r>
        <w:tab/>
      </w:r>
      <w:r>
        <w:tab/>
      </w:r>
      <w:r>
        <w:tab/>
      </w:r>
      <w:r>
        <w:tab/>
      </w:r>
      <w:r>
        <w:tab/>
      </w:r>
      <w:r>
        <w:tab/>
      </w:r>
      <w:r>
        <w:tab/>
      </w:r>
      <w:r>
        <w:tab/>
      </w:r>
      <w:r>
        <w:tab/>
      </w:r>
    </w:p>
    <w:p w:rsidR="009D1EDA" w:rsidRDefault="00197B69" w:rsidP="009D1EDA">
      <w:pPr>
        <w:pStyle w:val="ListParagraph"/>
        <w:numPr>
          <w:ilvl w:val="0"/>
          <w:numId w:val="10"/>
        </w:numPr>
      </w:pPr>
      <w:r>
        <w:t>Qualifications</w:t>
      </w:r>
      <w:r>
        <w:tab/>
      </w:r>
      <w:r>
        <w:tab/>
      </w:r>
      <w:r>
        <w:tab/>
      </w:r>
      <w:r>
        <w:tab/>
      </w:r>
      <w:r>
        <w:tab/>
      </w:r>
      <w:r>
        <w:tab/>
      </w:r>
      <w:r>
        <w:tab/>
      </w:r>
    </w:p>
    <w:p w:rsidR="009D1EDA" w:rsidRDefault="00BA5B4D" w:rsidP="009D1EDA">
      <w:pPr>
        <w:pStyle w:val="ListParagraph"/>
        <w:numPr>
          <w:ilvl w:val="0"/>
          <w:numId w:val="10"/>
        </w:numPr>
      </w:pPr>
      <w:r>
        <w:t>Eligibility</w:t>
      </w:r>
      <w:r>
        <w:tab/>
      </w:r>
      <w:r w:rsidR="00197B69">
        <w:tab/>
      </w:r>
      <w:r w:rsidR="00197B69">
        <w:tab/>
      </w:r>
      <w:r w:rsidR="00197B69">
        <w:tab/>
      </w:r>
      <w:r w:rsidR="00197B69">
        <w:tab/>
      </w:r>
      <w:r w:rsidR="00197B69">
        <w:tab/>
      </w:r>
      <w:r w:rsidR="00197B69">
        <w:tab/>
      </w:r>
      <w:r w:rsidR="00197B69">
        <w:tab/>
      </w:r>
    </w:p>
    <w:p w:rsidR="00197B69" w:rsidRDefault="009D1EDA" w:rsidP="009D1EDA">
      <w:pPr>
        <w:pStyle w:val="ListParagraph"/>
        <w:numPr>
          <w:ilvl w:val="0"/>
          <w:numId w:val="10"/>
        </w:numPr>
      </w:pPr>
      <w:r>
        <w:t>Implementa</w:t>
      </w:r>
      <w:r w:rsidR="00197B69">
        <w:t>tion, monitoring and review</w:t>
      </w:r>
    </w:p>
    <w:p w:rsidR="009D1EDA" w:rsidRDefault="00197B69" w:rsidP="009D1EDA">
      <w:pPr>
        <w:pStyle w:val="ListParagraph"/>
        <w:numPr>
          <w:ilvl w:val="0"/>
          <w:numId w:val="10"/>
        </w:numPr>
      </w:pPr>
      <w:r>
        <w:t>Associated Documentation</w:t>
      </w:r>
      <w:r>
        <w:tab/>
      </w:r>
      <w:r>
        <w:tab/>
      </w:r>
      <w:r>
        <w:tab/>
      </w:r>
    </w:p>
    <w:p w:rsidR="00BA5B4D" w:rsidRDefault="00BA5B4D" w:rsidP="00BA5B4D">
      <w:pPr>
        <w:ind w:left="360"/>
      </w:pPr>
    </w:p>
    <w:p w:rsidR="009D1EDA" w:rsidRDefault="00BA5B4D" w:rsidP="00BA5B4D">
      <w:pPr>
        <w:ind w:left="360"/>
      </w:pPr>
      <w:r>
        <w:t>Appen</w:t>
      </w:r>
      <w:r w:rsidR="00197B69">
        <w:t>dix I: Registration Form</w:t>
      </w:r>
      <w:r w:rsidR="00197B69">
        <w:tab/>
      </w:r>
      <w:r w:rsidR="00197B69">
        <w:tab/>
      </w:r>
      <w:r w:rsidR="00197B69">
        <w:tab/>
      </w:r>
      <w:r w:rsidR="00197B69">
        <w:tab/>
      </w:r>
      <w:r w:rsidR="00197B69">
        <w:tab/>
      </w:r>
    </w:p>
    <w:p w:rsidR="00DA4ED1" w:rsidRDefault="00DA4ED1" w:rsidP="00DA4ED1">
      <w:pPr>
        <w:ind w:left="360"/>
      </w:pPr>
      <w:r>
        <w:t>Equality analysis</w:t>
      </w:r>
      <w:r w:rsidR="00197B69">
        <w:tab/>
      </w:r>
      <w:r w:rsidR="00197B69">
        <w:tab/>
      </w:r>
      <w:r w:rsidR="00197B69">
        <w:tab/>
      </w:r>
      <w:r w:rsidR="00197B69">
        <w:tab/>
      </w:r>
      <w:r w:rsidR="00197B69">
        <w:tab/>
      </w:r>
      <w:r w:rsidR="00197B69">
        <w:tab/>
      </w:r>
      <w:r w:rsidR="00197B69">
        <w:tab/>
      </w:r>
      <w:r w:rsidR="00197B69">
        <w:tab/>
      </w:r>
    </w:p>
    <w:p w:rsidR="00DA4ED1" w:rsidRDefault="00DA4ED1" w:rsidP="00DA4ED1">
      <w:pPr>
        <w:ind w:left="360"/>
      </w:pPr>
      <w:r>
        <w:t>Signature sheet</w:t>
      </w:r>
      <w:r w:rsidR="00197B69">
        <w:tab/>
      </w:r>
      <w:r w:rsidR="00197B69">
        <w:tab/>
      </w:r>
      <w:r w:rsidR="00197B69">
        <w:tab/>
      </w:r>
      <w:r w:rsidR="00197B69">
        <w:tab/>
      </w:r>
      <w:r w:rsidR="00197B69">
        <w:tab/>
      </w:r>
      <w:r w:rsidR="00197B69">
        <w:tab/>
      </w:r>
      <w:r w:rsidR="00197B69">
        <w:tab/>
      </w:r>
      <w:r w:rsidR="00197B69">
        <w:tab/>
      </w:r>
    </w:p>
    <w:p w:rsidR="009D1EDA" w:rsidRDefault="009D1EDA" w:rsidP="00EE1CEE"/>
    <w:p w:rsidR="009D1EDA" w:rsidRDefault="009D1EDA"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DA4ED1" w:rsidRDefault="00DA4ED1" w:rsidP="00EE1CEE"/>
    <w:p w:rsidR="002E66C5" w:rsidRDefault="002E66C5" w:rsidP="00EE1CEE"/>
    <w:p w:rsidR="00EE1CEE" w:rsidRPr="009D1EDA" w:rsidRDefault="00EE1CEE" w:rsidP="009D1EDA">
      <w:pPr>
        <w:pStyle w:val="ListParagraph"/>
        <w:numPr>
          <w:ilvl w:val="0"/>
          <w:numId w:val="11"/>
        </w:numPr>
        <w:rPr>
          <w:b/>
          <w:sz w:val="28"/>
          <w:szCs w:val="28"/>
        </w:rPr>
      </w:pPr>
      <w:bookmarkStart w:id="2" w:name="_Toc360802728"/>
      <w:r w:rsidRPr="009D1EDA">
        <w:rPr>
          <w:b/>
          <w:sz w:val="28"/>
          <w:szCs w:val="28"/>
        </w:rPr>
        <w:t>Introduction</w:t>
      </w:r>
      <w:bookmarkEnd w:id="2"/>
    </w:p>
    <w:p w:rsidR="00D60092" w:rsidRPr="00F82E58" w:rsidRDefault="00D60092" w:rsidP="00D60092">
      <w:pPr>
        <w:rPr>
          <w:b/>
          <w:szCs w:val="24"/>
        </w:rPr>
      </w:pPr>
    </w:p>
    <w:p w:rsidR="00EE1CEE" w:rsidRPr="00F82E58" w:rsidRDefault="003E7995" w:rsidP="00EA0D1F">
      <w:pPr>
        <w:ind w:left="720" w:hanging="720"/>
        <w:jc w:val="both"/>
      </w:pPr>
      <w:r>
        <w:t>1.1</w:t>
      </w:r>
      <w:r>
        <w:tab/>
      </w:r>
      <w:r w:rsidR="00EE1CEE" w:rsidRPr="00F82E58">
        <w:t xml:space="preserve">This policy aims to ensure that patients remain at the centre of care by </w:t>
      </w:r>
      <w:r w:rsidR="00F82E58" w:rsidRPr="00F82E58">
        <w:t xml:space="preserve">improving </w:t>
      </w:r>
      <w:r w:rsidR="00EE1CEE" w:rsidRPr="00F82E58">
        <w:t xml:space="preserve">timely access to diagnostic procedures. </w:t>
      </w:r>
    </w:p>
    <w:p w:rsidR="00F82E58" w:rsidRPr="00EE1CEE" w:rsidRDefault="00F82E58" w:rsidP="00EA0D1F">
      <w:pPr>
        <w:ind w:left="720" w:hanging="720"/>
        <w:jc w:val="both"/>
      </w:pPr>
    </w:p>
    <w:p w:rsidR="00EE1CEE" w:rsidRDefault="003E7995" w:rsidP="00EA0D1F">
      <w:pPr>
        <w:ind w:left="720" w:hanging="720"/>
        <w:jc w:val="both"/>
      </w:pPr>
      <w:r>
        <w:t>1.2</w:t>
      </w:r>
      <w:r>
        <w:tab/>
      </w:r>
      <w:r w:rsidR="00EE1CEE" w:rsidRPr="00EE1CEE">
        <w:t>This policy aims to ensure that high standards of p</w:t>
      </w:r>
      <w:r w:rsidR="00653C47">
        <w:t>atient safety are main</w:t>
      </w:r>
      <w:r w:rsidR="009A053D">
        <w:t>tained</w:t>
      </w:r>
      <w:r w:rsidR="0086702B">
        <w:t xml:space="preserve"> </w:t>
      </w:r>
      <w:r w:rsidR="0086702B" w:rsidRPr="0086702B">
        <w:t>by supporting the developing a more robust and sustainable future workforce within</w:t>
      </w:r>
      <w:r w:rsidR="0086702B">
        <w:t xml:space="preserve"> the primary care setting</w:t>
      </w:r>
      <w:r w:rsidR="009A053D">
        <w:t xml:space="preserve">. </w:t>
      </w:r>
    </w:p>
    <w:p w:rsidR="00F82E58" w:rsidRPr="00EE1CEE" w:rsidRDefault="00F82E58" w:rsidP="00EA0D1F">
      <w:pPr>
        <w:jc w:val="both"/>
      </w:pPr>
    </w:p>
    <w:p w:rsidR="00EE1CEE" w:rsidRDefault="003E7995" w:rsidP="00EA0D1F">
      <w:pPr>
        <w:ind w:left="720" w:hanging="720"/>
        <w:jc w:val="both"/>
      </w:pPr>
      <w:r>
        <w:t>1.3</w:t>
      </w:r>
      <w:r>
        <w:tab/>
      </w:r>
      <w:r w:rsidR="00EE1CEE" w:rsidRPr="00EE1CEE">
        <w:t xml:space="preserve">Advanced </w:t>
      </w:r>
      <w:r w:rsidR="00284870">
        <w:t xml:space="preserve">Non-Medical </w:t>
      </w:r>
      <w:r w:rsidR="0086702B">
        <w:t>Practitioners</w:t>
      </w:r>
      <w:r w:rsidR="00EE1CEE" w:rsidRPr="00EE1CEE">
        <w:t xml:space="preserve"> working in extended roles are now key providers of </w:t>
      </w:r>
      <w:r w:rsidR="0086702B">
        <w:t>healthcare across all settings within the NHS</w:t>
      </w:r>
    </w:p>
    <w:p w:rsidR="00F82E58" w:rsidRPr="00EE1CEE" w:rsidRDefault="00F82E58" w:rsidP="00EA0D1F">
      <w:pPr>
        <w:jc w:val="both"/>
      </w:pPr>
    </w:p>
    <w:p w:rsidR="00EE1CEE" w:rsidRDefault="003E7995" w:rsidP="00EA0D1F">
      <w:pPr>
        <w:ind w:left="720" w:hanging="720"/>
        <w:jc w:val="both"/>
      </w:pPr>
      <w:r>
        <w:t>1.4</w:t>
      </w:r>
      <w:r>
        <w:tab/>
      </w:r>
      <w:r w:rsidR="00EE1CEE" w:rsidRPr="00EE1CEE">
        <w:t xml:space="preserve">The delivery of </w:t>
      </w:r>
      <w:r w:rsidR="00653C47">
        <w:t xml:space="preserve">timely diagnosis is key to </w:t>
      </w:r>
      <w:r w:rsidR="00EE1CEE" w:rsidRPr="00EE1CEE">
        <w:t xml:space="preserve">providing optimal patient centred care. </w:t>
      </w:r>
    </w:p>
    <w:p w:rsidR="00F82E58" w:rsidRPr="00EE1CEE" w:rsidRDefault="00F82E58" w:rsidP="00EA0D1F">
      <w:pPr>
        <w:jc w:val="both"/>
      </w:pPr>
    </w:p>
    <w:p w:rsidR="00EE1CEE" w:rsidRDefault="003E7995" w:rsidP="00EA0D1F">
      <w:pPr>
        <w:ind w:left="720" w:hanging="720"/>
        <w:jc w:val="both"/>
      </w:pPr>
      <w:r>
        <w:t>1.5</w:t>
      </w:r>
      <w:r>
        <w:tab/>
      </w:r>
      <w:r w:rsidR="00EE1CEE" w:rsidRPr="00EE1CEE">
        <w:t>The development of advanced practice roles presents significant opportunities for the delivery of high quality patient focussed care and service development.</w:t>
      </w:r>
    </w:p>
    <w:p w:rsidR="00F82E58" w:rsidRPr="00EE1CEE" w:rsidRDefault="00F82E58" w:rsidP="00EA0D1F">
      <w:pPr>
        <w:jc w:val="both"/>
      </w:pPr>
    </w:p>
    <w:p w:rsidR="00EE1CEE" w:rsidRDefault="003E7995" w:rsidP="00EA0D1F">
      <w:pPr>
        <w:ind w:left="720" w:hanging="720"/>
        <w:jc w:val="both"/>
      </w:pPr>
      <w:r>
        <w:t>1.6</w:t>
      </w:r>
      <w:r>
        <w:tab/>
      </w:r>
      <w:r w:rsidR="00EE1CEE" w:rsidRPr="00EE1CEE">
        <w:t xml:space="preserve">For the purposes of this document an </w:t>
      </w:r>
      <w:r w:rsidR="00284870" w:rsidRPr="00EE1CEE">
        <w:t xml:space="preserve">Advanced </w:t>
      </w:r>
      <w:r w:rsidR="00284870">
        <w:t>Non-Medic</w:t>
      </w:r>
      <w:r w:rsidR="005A05A9">
        <w:t>al Practitioner</w:t>
      </w:r>
      <w:r w:rsidR="00284870" w:rsidRPr="00EE1CEE">
        <w:t xml:space="preserve"> </w:t>
      </w:r>
      <w:r w:rsidR="00EE1CEE" w:rsidRPr="00EE1CEE">
        <w:t xml:space="preserve">is a </w:t>
      </w:r>
      <w:r w:rsidR="005A05A9" w:rsidRPr="00EE1CEE">
        <w:t xml:space="preserve">registered </w:t>
      </w:r>
      <w:r w:rsidR="005A05A9">
        <w:t>professional who</w:t>
      </w:r>
      <w:r w:rsidR="0086702B" w:rsidRPr="0086702B">
        <w:rPr>
          <w:szCs w:val="23"/>
        </w:rPr>
        <w:t xml:space="preserve"> has developed skills, theoretical knowledge and competence to </w:t>
      </w:r>
      <w:r w:rsidR="0086702B">
        <w:rPr>
          <w:szCs w:val="23"/>
        </w:rPr>
        <w:t>a high</w:t>
      </w:r>
      <w:r w:rsidR="0086702B" w:rsidRPr="0086702B">
        <w:rPr>
          <w:szCs w:val="23"/>
        </w:rPr>
        <w:t xml:space="preserve"> standard and is empowered by the</w:t>
      </w:r>
      <w:r w:rsidR="0086702B">
        <w:rPr>
          <w:szCs w:val="23"/>
        </w:rPr>
        <w:t>ir CCG/</w:t>
      </w:r>
      <w:r w:rsidR="0086702B" w:rsidRPr="0086702B">
        <w:rPr>
          <w:szCs w:val="23"/>
        </w:rPr>
        <w:t>Trust to make high level and complex decisions. It is essential that practitioners who take on new roles are aware of the legal boundaries relating to their role and that they have sufficient training to ensure that they can perform he role to a required standard.</w:t>
      </w:r>
      <w:r w:rsidR="00A710BA" w:rsidRPr="0086702B">
        <w:rPr>
          <w:sz w:val="28"/>
        </w:rPr>
        <w:t xml:space="preserve"> </w:t>
      </w:r>
    </w:p>
    <w:p w:rsidR="00A710BA" w:rsidRDefault="00A710BA" w:rsidP="00EA0D1F">
      <w:pPr>
        <w:jc w:val="both"/>
      </w:pPr>
    </w:p>
    <w:p w:rsidR="00A710BA" w:rsidRDefault="00D853DE" w:rsidP="00EA0D1F">
      <w:pPr>
        <w:ind w:left="720" w:hanging="720"/>
        <w:jc w:val="both"/>
      </w:pPr>
      <w:r>
        <w:t>1.7</w:t>
      </w:r>
      <w:r w:rsidR="00A710BA">
        <w:tab/>
      </w:r>
      <w:r w:rsidR="00A710BA" w:rsidRPr="00A710BA">
        <w:t xml:space="preserve">The </w:t>
      </w:r>
      <w:r w:rsidR="009A053D">
        <w:t>diagnostics d</w:t>
      </w:r>
      <w:r w:rsidR="00A710BA">
        <w:t>irectorate</w:t>
      </w:r>
      <w:r w:rsidR="00A710BA" w:rsidRPr="00A710BA">
        <w:t xml:space="preserve"> fully supports t</w:t>
      </w:r>
      <w:r w:rsidR="0086702B">
        <w:t xml:space="preserve">he requesting of ultrasound </w:t>
      </w:r>
      <w:r w:rsidR="00A710BA" w:rsidRPr="00A710BA">
        <w:t xml:space="preserve">examinations by </w:t>
      </w:r>
      <w:r w:rsidR="00284870" w:rsidRPr="00EE1CEE">
        <w:t xml:space="preserve">Advanced </w:t>
      </w:r>
      <w:r w:rsidR="00284870">
        <w:t>Non-Medical Practitioners</w:t>
      </w:r>
      <w:r w:rsidR="00284870" w:rsidRPr="00EE1CEE">
        <w:t xml:space="preserve"> </w:t>
      </w:r>
      <w:r w:rsidR="00A710BA" w:rsidRPr="00A710BA">
        <w:t>providing that this has been agreed by the directorate in advance for each individual practitioner.  Each individual practitioner must agree to undertake the necessary training, make requests that comply with agreed protocols, and must fully understand their responsibilities in respect of their extended role.</w:t>
      </w:r>
    </w:p>
    <w:p w:rsidR="00653C47" w:rsidRDefault="00653C47" w:rsidP="00EA0D1F">
      <w:pPr>
        <w:ind w:left="720" w:hanging="720"/>
        <w:jc w:val="both"/>
      </w:pPr>
    </w:p>
    <w:p w:rsidR="00A710BA" w:rsidRDefault="00A710BA" w:rsidP="00EA0D1F">
      <w:pPr>
        <w:ind w:left="720" w:hanging="720"/>
        <w:jc w:val="both"/>
      </w:pPr>
    </w:p>
    <w:p w:rsidR="00A710BA" w:rsidRPr="00DA4ED1" w:rsidRDefault="00A710BA" w:rsidP="00EA0D1F">
      <w:pPr>
        <w:pStyle w:val="ListParagraph"/>
        <w:numPr>
          <w:ilvl w:val="0"/>
          <w:numId w:val="5"/>
        </w:numPr>
        <w:jc w:val="both"/>
        <w:rPr>
          <w:sz w:val="28"/>
          <w:szCs w:val="28"/>
        </w:rPr>
      </w:pPr>
      <w:r w:rsidRPr="00DA4ED1">
        <w:rPr>
          <w:b/>
          <w:sz w:val="28"/>
          <w:szCs w:val="28"/>
        </w:rPr>
        <w:t>Legal Boundaries</w:t>
      </w:r>
    </w:p>
    <w:p w:rsidR="00A710BA" w:rsidRDefault="00A710BA" w:rsidP="00EA0D1F">
      <w:pPr>
        <w:ind w:left="720" w:hanging="720"/>
        <w:jc w:val="both"/>
      </w:pPr>
    </w:p>
    <w:p w:rsidR="00A710BA" w:rsidRDefault="00A710BA" w:rsidP="00EA0D1F">
      <w:pPr>
        <w:ind w:left="720" w:hanging="720"/>
        <w:jc w:val="both"/>
      </w:pPr>
      <w:r>
        <w:t>2.1</w:t>
      </w:r>
      <w:r>
        <w:tab/>
      </w:r>
      <w:r w:rsidR="00D853DE" w:rsidRPr="00D853DE">
        <w:t xml:space="preserve">The requesting (referral) of </w:t>
      </w:r>
      <w:r w:rsidR="0086702B">
        <w:t>ultrasound</w:t>
      </w:r>
      <w:r w:rsidR="00D853DE" w:rsidRPr="00D853DE">
        <w:t xml:space="preserve"> examinations</w:t>
      </w:r>
      <w:r w:rsidR="0086702B">
        <w:t xml:space="preserve"> does not involve </w:t>
      </w:r>
      <w:r w:rsidR="00D853DE" w:rsidRPr="00D853DE">
        <w:t xml:space="preserve"> ionising radiation</w:t>
      </w:r>
      <w:r w:rsidR="0086702B">
        <w:t xml:space="preserve"> and therefore is not</w:t>
      </w:r>
      <w:r w:rsidR="00D853DE" w:rsidRPr="00D853DE">
        <w:t xml:space="preserve"> regulated by the Ionising Radiation </w:t>
      </w:r>
      <w:r w:rsidR="009A053D">
        <w:t>(</w:t>
      </w:r>
      <w:r w:rsidR="00D853DE" w:rsidRPr="00D853DE">
        <w:t>Medical Exposure</w:t>
      </w:r>
      <w:r w:rsidR="009A053D">
        <w:t>)</w:t>
      </w:r>
      <w:r w:rsidR="009636EF">
        <w:t xml:space="preserve"> Regulations </w:t>
      </w:r>
      <w:r w:rsidR="00D853DE" w:rsidRPr="00D853DE">
        <w:t xml:space="preserve">(IRMER). </w:t>
      </w:r>
      <w:r w:rsidR="0086702B">
        <w:t>However the principles are followed by United Lincolnshire Hospitals NHS Trust (ULHT) with regard to any radiology diagnostic investigation. Ultrasound referrals are subject to the ALARP (As Low As Reasonably Practicable) due to peripheral harms which may be caused and thermal &amp; mechanical safety as advised by the British Medical Ultrasound Society (BMUS) and European Federation of Societies for Ultrasound in Medicine and Biology (EFSUMB). The</w:t>
      </w:r>
      <w:r w:rsidR="00D853DE" w:rsidRPr="00D853DE">
        <w:t xml:space="preserve"> ‘re</w:t>
      </w:r>
      <w:r w:rsidR="009A053D">
        <w:t xml:space="preserve">ferrer’ </w:t>
      </w:r>
      <w:r w:rsidR="0086702B">
        <w:t>is</w:t>
      </w:r>
      <w:r w:rsidR="009A053D">
        <w:t xml:space="preserve"> ‘a registered health</w:t>
      </w:r>
      <w:r w:rsidR="00D853DE" w:rsidRPr="00D853DE">
        <w:t xml:space="preserve">care professional who is entitled in accordance with the employer’s procedures to refer individuals for medical exposure to a practitioner’, where a ‘practitioner’ is an individual who justifies the </w:t>
      </w:r>
      <w:r w:rsidR="00503C49">
        <w:t>request</w:t>
      </w:r>
      <w:r w:rsidR="00503C49" w:rsidRPr="00D853DE">
        <w:t xml:space="preserve"> (</w:t>
      </w:r>
      <w:r w:rsidR="0086702B">
        <w:t xml:space="preserve">i.e.  </w:t>
      </w:r>
      <w:r w:rsidR="00503C49">
        <w:t>Radiologist, S</w:t>
      </w:r>
      <w:r w:rsidR="0086702B">
        <w:t>onographer</w:t>
      </w:r>
      <w:r w:rsidR="00D853DE" w:rsidRPr="00D853DE">
        <w:t>).</w:t>
      </w:r>
    </w:p>
    <w:p w:rsidR="00A710BA" w:rsidRDefault="00A710BA" w:rsidP="00EA0D1F">
      <w:pPr>
        <w:ind w:left="720" w:hanging="720"/>
        <w:jc w:val="both"/>
      </w:pPr>
    </w:p>
    <w:p w:rsidR="0086702B" w:rsidRDefault="00A710BA" w:rsidP="0086702B">
      <w:pPr>
        <w:ind w:left="720" w:hanging="720"/>
        <w:jc w:val="both"/>
      </w:pPr>
      <w:r>
        <w:t>2.2</w:t>
      </w:r>
      <w:r>
        <w:tab/>
      </w:r>
      <w:r w:rsidR="0086702B">
        <w:t>An ultrasound examination</w:t>
      </w:r>
      <w:r>
        <w:t xml:space="preserve"> can only be carried out when justified by </w:t>
      </w:r>
      <w:r w:rsidR="009A053D">
        <w:t>a</w:t>
      </w:r>
      <w:r w:rsidR="00D5650C">
        <w:t xml:space="preserve"> named practitioner (i.e. </w:t>
      </w:r>
      <w:r>
        <w:t>the referrer is requesting a</w:t>
      </w:r>
      <w:r w:rsidR="0086702B">
        <w:t>n expert</w:t>
      </w:r>
      <w:r>
        <w:t xml:space="preserve"> clinical opinion from the practitioner, not ordering an X-ray examination</w:t>
      </w:r>
      <w:r w:rsidR="00D5650C">
        <w:t>)</w:t>
      </w:r>
      <w:r>
        <w:t>.</w:t>
      </w:r>
    </w:p>
    <w:p w:rsidR="00A710BA" w:rsidRDefault="00A710BA" w:rsidP="00EA0D1F">
      <w:pPr>
        <w:ind w:left="720" w:hanging="720"/>
        <w:jc w:val="both"/>
      </w:pPr>
    </w:p>
    <w:p w:rsidR="00A710BA" w:rsidRDefault="00A710BA" w:rsidP="00DA4ED1">
      <w:pPr>
        <w:ind w:left="720" w:hanging="720"/>
        <w:jc w:val="both"/>
      </w:pPr>
      <w:r>
        <w:t>2.3</w:t>
      </w:r>
      <w:r>
        <w:tab/>
      </w:r>
      <w:r w:rsidR="0086702B">
        <w:t>Advanced Practitioners in primary care</w:t>
      </w:r>
      <w:r>
        <w:t xml:space="preserve"> may be ‘referrers’ under </w:t>
      </w:r>
      <w:r w:rsidR="0086702B">
        <w:t>the guidelines</w:t>
      </w:r>
      <w:r w:rsidR="00EA0D1F">
        <w:t xml:space="preserve"> provided:</w:t>
      </w:r>
    </w:p>
    <w:p w:rsidR="0086702B" w:rsidRDefault="0086702B" w:rsidP="00DA4ED1">
      <w:pPr>
        <w:ind w:left="720" w:hanging="720"/>
        <w:jc w:val="both"/>
      </w:pPr>
    </w:p>
    <w:p w:rsidR="00EA0D1F" w:rsidRDefault="0086702B" w:rsidP="0086702B">
      <w:pPr>
        <w:pStyle w:val="ListParagraph"/>
        <w:numPr>
          <w:ilvl w:val="0"/>
          <w:numId w:val="16"/>
        </w:numPr>
        <w:ind w:left="709" w:firstLine="0"/>
        <w:jc w:val="both"/>
      </w:pPr>
      <w:r w:rsidRPr="0086702B">
        <w:t xml:space="preserve">They have the competence to provide the medical data required to enable the practitioner who will undertake the examination (usually a </w:t>
      </w:r>
      <w:r>
        <w:t>sonographer or radiologist</w:t>
      </w:r>
      <w:r w:rsidRPr="0086702B">
        <w:t xml:space="preserve">) to decide whether there is net benefit to the patient from </w:t>
      </w:r>
      <w:r>
        <w:t>the examination</w:t>
      </w:r>
      <w:r w:rsidRPr="0086702B">
        <w:t>.</w:t>
      </w:r>
    </w:p>
    <w:p w:rsidR="00D5650C" w:rsidRDefault="00D5650C" w:rsidP="00DA4ED1">
      <w:pPr>
        <w:ind w:left="720"/>
        <w:jc w:val="both"/>
      </w:pPr>
    </w:p>
    <w:p w:rsidR="00A710BA" w:rsidRDefault="00C05982" w:rsidP="00DA4ED1">
      <w:pPr>
        <w:pStyle w:val="ListParagraph"/>
        <w:numPr>
          <w:ilvl w:val="0"/>
          <w:numId w:val="8"/>
        </w:numPr>
        <w:ind w:left="1080"/>
        <w:jc w:val="both"/>
      </w:pPr>
      <w:r w:rsidRPr="00C05982">
        <w:t>The</w:t>
      </w:r>
      <w:r>
        <w:t xml:space="preserve">y </w:t>
      </w:r>
      <w:r w:rsidRPr="00C05982">
        <w:t xml:space="preserve">supply the practitioner </w:t>
      </w:r>
      <w:r w:rsidR="00D5650C" w:rsidRPr="00D5650C">
        <w:t>(</w:t>
      </w:r>
      <w:r w:rsidR="00D5650C">
        <w:t xml:space="preserve">usually a radiologist or radiographer) </w:t>
      </w:r>
      <w:r w:rsidRPr="00C05982">
        <w:t>with sufficient medical data relevant to the medical e</w:t>
      </w:r>
      <w:r w:rsidR="00535829">
        <w:t xml:space="preserve">xposure requested to enable the </w:t>
      </w:r>
      <w:r w:rsidRPr="00C05982">
        <w:t>practitioner to decide on whether there is justification for the exposure to go ahead</w:t>
      </w:r>
      <w:r>
        <w:t xml:space="preserve">. </w:t>
      </w:r>
    </w:p>
    <w:p w:rsidR="00D5650C" w:rsidRDefault="00D5650C" w:rsidP="00DA4ED1">
      <w:pPr>
        <w:ind w:left="720"/>
        <w:jc w:val="both"/>
      </w:pPr>
    </w:p>
    <w:p w:rsidR="00A710BA" w:rsidRDefault="00A710BA" w:rsidP="00DA4ED1">
      <w:pPr>
        <w:pStyle w:val="ListParagraph"/>
        <w:numPr>
          <w:ilvl w:val="0"/>
          <w:numId w:val="8"/>
        </w:numPr>
        <w:ind w:left="1080"/>
        <w:jc w:val="both"/>
      </w:pPr>
      <w:r>
        <w:t xml:space="preserve">They have the agreement of their </w:t>
      </w:r>
      <w:r w:rsidR="00535829">
        <w:t>manager</w:t>
      </w:r>
      <w:r>
        <w:t xml:space="preserve"> that th</w:t>
      </w:r>
      <w:r w:rsidR="00535829">
        <w:t>ey can fulfil the role of referrer.</w:t>
      </w:r>
    </w:p>
    <w:p w:rsidR="00D5650C" w:rsidRDefault="00D5650C" w:rsidP="00DA4ED1">
      <w:pPr>
        <w:ind w:left="720"/>
        <w:jc w:val="both"/>
      </w:pPr>
    </w:p>
    <w:p w:rsidR="00A710BA" w:rsidRDefault="00A710BA" w:rsidP="00DA4ED1">
      <w:pPr>
        <w:pStyle w:val="ListParagraph"/>
        <w:numPr>
          <w:ilvl w:val="0"/>
          <w:numId w:val="8"/>
        </w:numPr>
        <w:ind w:left="1080"/>
        <w:jc w:val="both"/>
      </w:pPr>
      <w:r>
        <w:t>The healthcare professional understands the nature of the individual liability imposed for acting outside the terms of the agreed protocol</w:t>
      </w:r>
    </w:p>
    <w:p w:rsidR="00D5650C" w:rsidRDefault="00D5650C" w:rsidP="00DA4ED1">
      <w:pPr>
        <w:ind w:left="720"/>
        <w:jc w:val="both"/>
      </w:pPr>
    </w:p>
    <w:p w:rsidR="00A710BA" w:rsidRDefault="00A710BA" w:rsidP="00DA4ED1">
      <w:pPr>
        <w:pStyle w:val="ListParagraph"/>
        <w:numPr>
          <w:ilvl w:val="0"/>
          <w:numId w:val="8"/>
        </w:numPr>
        <w:ind w:left="1080"/>
        <w:jc w:val="both"/>
      </w:pPr>
      <w:r>
        <w:t>The healthcare professional understands that the entitlement to act as referrer will be withdrawn if they disregard protocol or attempt to make referrals for examinations for which they are not entitled to refer</w:t>
      </w:r>
      <w:r w:rsidR="00D5650C">
        <w:t>.</w:t>
      </w:r>
    </w:p>
    <w:p w:rsidR="00D5650C" w:rsidRDefault="00D5650C" w:rsidP="00DA4ED1">
      <w:pPr>
        <w:ind w:left="720"/>
        <w:jc w:val="both"/>
      </w:pPr>
    </w:p>
    <w:p w:rsidR="00A710BA" w:rsidRDefault="00A710BA" w:rsidP="00DA4ED1">
      <w:pPr>
        <w:pStyle w:val="ListParagraph"/>
        <w:numPr>
          <w:ilvl w:val="0"/>
          <w:numId w:val="8"/>
        </w:numPr>
        <w:ind w:left="1080"/>
        <w:jc w:val="both"/>
      </w:pPr>
      <w:r>
        <w:t>The healthcare professional must achieve and maintain high standards of competence and only provide services for which they are qualified by education, training and experience and which are within their professional competence.</w:t>
      </w:r>
    </w:p>
    <w:p w:rsidR="00D5650C" w:rsidRDefault="00D5650C" w:rsidP="00DA4ED1">
      <w:pPr>
        <w:ind w:left="720"/>
        <w:jc w:val="both"/>
      </w:pPr>
    </w:p>
    <w:p w:rsidR="00A710BA" w:rsidRDefault="00A710BA" w:rsidP="00DA4ED1">
      <w:pPr>
        <w:pStyle w:val="ListParagraph"/>
        <w:numPr>
          <w:ilvl w:val="0"/>
          <w:numId w:val="8"/>
        </w:numPr>
        <w:ind w:left="1080"/>
        <w:jc w:val="both"/>
      </w:pPr>
      <w:r>
        <w:t>The healthcare professional should not undertake any aspect of work that he/she knows or believes to be outside their competence.</w:t>
      </w:r>
    </w:p>
    <w:p w:rsidR="009636EF" w:rsidRDefault="009636EF" w:rsidP="009636EF">
      <w:pPr>
        <w:pStyle w:val="ListParagraph"/>
      </w:pPr>
    </w:p>
    <w:p w:rsidR="009636EF" w:rsidRDefault="009636EF" w:rsidP="00DA4ED1">
      <w:pPr>
        <w:pStyle w:val="ListParagraph"/>
        <w:numPr>
          <w:ilvl w:val="0"/>
          <w:numId w:val="8"/>
        </w:numPr>
        <w:ind w:left="1080"/>
        <w:jc w:val="both"/>
      </w:pPr>
      <w:r>
        <w:t>They MUST be state registered as either a Nurse or AHP (Allied Health Professional</w:t>
      </w:r>
    </w:p>
    <w:p w:rsidR="00653C47" w:rsidRDefault="00653C47" w:rsidP="00EA0D1F">
      <w:pPr>
        <w:jc w:val="both"/>
      </w:pPr>
    </w:p>
    <w:p w:rsidR="00653C47" w:rsidRPr="00EE1CEE" w:rsidRDefault="00653C47" w:rsidP="00EA0D1F">
      <w:pPr>
        <w:jc w:val="both"/>
      </w:pPr>
    </w:p>
    <w:p w:rsidR="00EE1CEE" w:rsidRPr="003E7995" w:rsidRDefault="00A710BA" w:rsidP="00EA0D1F">
      <w:pPr>
        <w:jc w:val="both"/>
        <w:rPr>
          <w:b/>
          <w:sz w:val="28"/>
          <w:szCs w:val="28"/>
        </w:rPr>
      </w:pPr>
      <w:bookmarkStart w:id="3" w:name="_Toc281906105"/>
      <w:bookmarkStart w:id="4" w:name="_Toc360800785"/>
      <w:bookmarkStart w:id="5" w:name="_Toc360802729"/>
      <w:r>
        <w:rPr>
          <w:b/>
          <w:sz w:val="28"/>
          <w:szCs w:val="28"/>
        </w:rPr>
        <w:t>3</w:t>
      </w:r>
      <w:r w:rsidR="003E7995" w:rsidRPr="003E7995">
        <w:rPr>
          <w:b/>
          <w:sz w:val="28"/>
          <w:szCs w:val="28"/>
        </w:rPr>
        <w:t>.0</w:t>
      </w:r>
      <w:r w:rsidR="003E7995" w:rsidRPr="003E7995">
        <w:rPr>
          <w:b/>
          <w:sz w:val="28"/>
          <w:szCs w:val="28"/>
        </w:rPr>
        <w:tab/>
      </w:r>
      <w:r w:rsidR="00EE1CEE" w:rsidRPr="003E7995">
        <w:rPr>
          <w:b/>
          <w:sz w:val="28"/>
          <w:szCs w:val="28"/>
        </w:rPr>
        <w:t>Purpose</w:t>
      </w:r>
      <w:bookmarkEnd w:id="3"/>
      <w:bookmarkEnd w:id="4"/>
      <w:bookmarkEnd w:id="5"/>
      <w:r w:rsidR="00EE1CEE" w:rsidRPr="003E7995">
        <w:rPr>
          <w:b/>
          <w:sz w:val="28"/>
          <w:szCs w:val="28"/>
        </w:rPr>
        <w:t xml:space="preserve"> of Policy</w:t>
      </w:r>
    </w:p>
    <w:p w:rsidR="00F82E58" w:rsidRPr="00EE1CEE" w:rsidRDefault="00F82E58" w:rsidP="00EA0D1F">
      <w:pPr>
        <w:jc w:val="both"/>
      </w:pPr>
    </w:p>
    <w:p w:rsidR="00EE1CEE" w:rsidRDefault="00A710BA" w:rsidP="00EA0D1F">
      <w:pPr>
        <w:ind w:left="720" w:hanging="720"/>
        <w:jc w:val="both"/>
      </w:pPr>
      <w:r>
        <w:t>3</w:t>
      </w:r>
      <w:r w:rsidR="003E7995">
        <w:t>.1</w:t>
      </w:r>
      <w:r w:rsidR="003E7995">
        <w:tab/>
      </w:r>
      <w:r w:rsidR="00EE1CEE" w:rsidRPr="00EE1CEE">
        <w:t xml:space="preserve">To facilitate the requesting of </w:t>
      </w:r>
      <w:r w:rsidR="0086702B">
        <w:t>ultrasound</w:t>
      </w:r>
      <w:r w:rsidR="00EE1CEE" w:rsidRPr="00EE1CEE">
        <w:t xml:space="preserve"> investigations by practitioners working at an advanced level</w:t>
      </w:r>
      <w:r w:rsidR="00653C47">
        <w:t xml:space="preserve"> in </w:t>
      </w:r>
      <w:r w:rsidR="0086702B">
        <w:t>primary care</w:t>
      </w:r>
      <w:r w:rsidR="00EE1CEE" w:rsidRPr="00EE1CEE">
        <w:t>.</w:t>
      </w:r>
    </w:p>
    <w:p w:rsidR="00F82E58" w:rsidRDefault="00F82E58" w:rsidP="00EA0D1F">
      <w:pPr>
        <w:jc w:val="both"/>
      </w:pPr>
    </w:p>
    <w:p w:rsidR="00F82E58" w:rsidRDefault="00A710BA" w:rsidP="00EA0D1F">
      <w:pPr>
        <w:ind w:left="720" w:hanging="720"/>
        <w:jc w:val="both"/>
      </w:pPr>
      <w:r>
        <w:t>3</w:t>
      </w:r>
      <w:r w:rsidR="003E7995">
        <w:t>.2</w:t>
      </w:r>
      <w:r w:rsidR="003E7995">
        <w:tab/>
      </w:r>
      <w:r w:rsidR="00EE1CEE" w:rsidRPr="00EE1CEE">
        <w:t xml:space="preserve">To improve the delivery of high quality patient focused care while reducing patient and corporate risk. </w:t>
      </w:r>
    </w:p>
    <w:p w:rsidR="00F82E58" w:rsidRDefault="00F82E58" w:rsidP="00EA0D1F">
      <w:pPr>
        <w:jc w:val="both"/>
      </w:pPr>
    </w:p>
    <w:p w:rsidR="00F82E58" w:rsidRDefault="00653C47" w:rsidP="00EA0D1F">
      <w:pPr>
        <w:ind w:left="720" w:hanging="720"/>
        <w:jc w:val="both"/>
      </w:pPr>
      <w:r>
        <w:t>3.3</w:t>
      </w:r>
      <w:r w:rsidR="00A710BA">
        <w:tab/>
      </w:r>
      <w:r w:rsidR="00EE1CEE" w:rsidRPr="00EE1CEE">
        <w:t>To place the emphasis</w:t>
      </w:r>
      <w:r w:rsidR="00ED2AA3">
        <w:t xml:space="preserve"> on quality assurance and best </w:t>
      </w:r>
      <w:r w:rsidR="00EE1CEE" w:rsidRPr="00EE1CEE">
        <w:t xml:space="preserve">clinical practice that can be monitored and management at business unit level for the benefit of patients. </w:t>
      </w:r>
    </w:p>
    <w:p w:rsidR="00F82E58" w:rsidRDefault="00F82E58" w:rsidP="00EA0D1F">
      <w:pPr>
        <w:jc w:val="both"/>
      </w:pPr>
    </w:p>
    <w:p w:rsidR="00F82E58" w:rsidRDefault="00653C47" w:rsidP="00DA4ED1">
      <w:pPr>
        <w:ind w:left="720" w:hanging="720"/>
        <w:jc w:val="both"/>
      </w:pPr>
      <w:r>
        <w:t>3</w:t>
      </w:r>
      <w:r w:rsidR="003E7995">
        <w:t>.</w:t>
      </w:r>
      <w:r>
        <w:t>4</w:t>
      </w:r>
      <w:r w:rsidR="003E7995">
        <w:tab/>
      </w:r>
      <w:r w:rsidR="00EE1CEE" w:rsidRPr="00EE1CEE">
        <w:t xml:space="preserve">To </w:t>
      </w:r>
      <w:r w:rsidR="00503C49" w:rsidRPr="00EE1CEE">
        <w:t>facilitate the</w:t>
      </w:r>
      <w:r w:rsidR="00EE1CEE" w:rsidRPr="00EE1CEE">
        <w:t xml:space="preserve"> introduction of advanced practice roles within </w:t>
      </w:r>
      <w:r w:rsidR="0086702B">
        <w:t>primary care</w:t>
      </w:r>
      <w:r w:rsidR="00EE1CEE" w:rsidRPr="00EE1CEE">
        <w:t xml:space="preserve"> that offer improves outcomes for patients.</w:t>
      </w:r>
      <w:bookmarkStart w:id="6" w:name="_Toc360800786"/>
      <w:bookmarkStart w:id="7" w:name="_Toc360802730"/>
    </w:p>
    <w:p w:rsidR="0086702B" w:rsidRDefault="0086702B" w:rsidP="00DA4ED1">
      <w:pPr>
        <w:ind w:left="720" w:hanging="720"/>
        <w:jc w:val="both"/>
      </w:pPr>
    </w:p>
    <w:p w:rsidR="00EE1CEE" w:rsidRPr="003E7995" w:rsidRDefault="00A710BA" w:rsidP="00EA0D1F">
      <w:pPr>
        <w:jc w:val="both"/>
        <w:rPr>
          <w:b/>
          <w:sz w:val="28"/>
          <w:szCs w:val="28"/>
        </w:rPr>
      </w:pPr>
      <w:r>
        <w:rPr>
          <w:b/>
          <w:sz w:val="28"/>
          <w:szCs w:val="28"/>
        </w:rPr>
        <w:t>4</w:t>
      </w:r>
      <w:r w:rsidR="003E7995" w:rsidRPr="003E7995">
        <w:rPr>
          <w:b/>
          <w:sz w:val="28"/>
          <w:szCs w:val="28"/>
        </w:rPr>
        <w:t>.0</w:t>
      </w:r>
      <w:r w:rsidR="003E7995" w:rsidRPr="003E7995">
        <w:rPr>
          <w:b/>
          <w:sz w:val="28"/>
          <w:szCs w:val="28"/>
        </w:rPr>
        <w:tab/>
      </w:r>
      <w:r w:rsidR="00EE1CEE" w:rsidRPr="003E7995">
        <w:rPr>
          <w:b/>
          <w:sz w:val="28"/>
          <w:szCs w:val="28"/>
        </w:rPr>
        <w:t>Objectives</w:t>
      </w:r>
      <w:bookmarkEnd w:id="6"/>
      <w:bookmarkEnd w:id="7"/>
    </w:p>
    <w:p w:rsidR="00F82E58" w:rsidRDefault="00F82E58" w:rsidP="00EA0D1F">
      <w:pPr>
        <w:jc w:val="both"/>
      </w:pPr>
    </w:p>
    <w:p w:rsidR="00EE1CEE" w:rsidRPr="00EE1CEE" w:rsidRDefault="00A710BA" w:rsidP="00EA0D1F">
      <w:pPr>
        <w:ind w:left="720" w:hanging="720"/>
        <w:jc w:val="both"/>
      </w:pPr>
      <w:r>
        <w:t>4</w:t>
      </w:r>
      <w:r w:rsidR="003E7995">
        <w:t>.1</w:t>
      </w:r>
      <w:r w:rsidR="003E7995">
        <w:tab/>
      </w:r>
      <w:r w:rsidR="00EE1CEE" w:rsidRPr="00EE1CEE">
        <w:t xml:space="preserve">To enable </w:t>
      </w:r>
      <w:r w:rsidR="00284870" w:rsidRPr="00EE1CEE">
        <w:t xml:space="preserve">Advanced </w:t>
      </w:r>
      <w:r w:rsidR="00284870">
        <w:t>Non-Medical Practitioners</w:t>
      </w:r>
      <w:r w:rsidR="00EE1CEE" w:rsidRPr="00EE1CEE">
        <w:t xml:space="preserve"> to req</w:t>
      </w:r>
      <w:r w:rsidR="00653C47">
        <w:t xml:space="preserve">uest diagnostic </w:t>
      </w:r>
      <w:r w:rsidR="0086702B">
        <w:t>ultrasound examinations</w:t>
      </w:r>
    </w:p>
    <w:p w:rsidR="00F82E58" w:rsidRDefault="00F82E58" w:rsidP="00EA0D1F">
      <w:pPr>
        <w:jc w:val="both"/>
      </w:pPr>
      <w:bookmarkStart w:id="8" w:name="_Toc281906106"/>
      <w:bookmarkStart w:id="9" w:name="_Toc360800787"/>
      <w:bookmarkStart w:id="10" w:name="_Toc360802731"/>
    </w:p>
    <w:p w:rsidR="00F82E58" w:rsidRDefault="00F82E58" w:rsidP="00EA0D1F">
      <w:pPr>
        <w:jc w:val="both"/>
      </w:pPr>
    </w:p>
    <w:p w:rsidR="00EE1CEE" w:rsidRPr="003E7995" w:rsidRDefault="00A710BA" w:rsidP="00EA0D1F">
      <w:pPr>
        <w:jc w:val="both"/>
        <w:rPr>
          <w:b/>
          <w:sz w:val="28"/>
          <w:szCs w:val="28"/>
        </w:rPr>
      </w:pPr>
      <w:r>
        <w:rPr>
          <w:b/>
          <w:sz w:val="28"/>
          <w:szCs w:val="28"/>
        </w:rPr>
        <w:t>5</w:t>
      </w:r>
      <w:r w:rsidR="003E7995" w:rsidRPr="003E7995">
        <w:rPr>
          <w:b/>
          <w:sz w:val="28"/>
          <w:szCs w:val="28"/>
        </w:rPr>
        <w:t>.0</w:t>
      </w:r>
      <w:r w:rsidR="003E7995" w:rsidRPr="003E7995">
        <w:rPr>
          <w:b/>
          <w:sz w:val="28"/>
          <w:szCs w:val="28"/>
        </w:rPr>
        <w:tab/>
      </w:r>
      <w:r w:rsidR="00EE1CEE" w:rsidRPr="003E7995">
        <w:rPr>
          <w:b/>
          <w:sz w:val="28"/>
          <w:szCs w:val="28"/>
        </w:rPr>
        <w:t>Scope</w:t>
      </w:r>
      <w:bookmarkEnd w:id="8"/>
      <w:bookmarkEnd w:id="9"/>
      <w:bookmarkEnd w:id="10"/>
    </w:p>
    <w:p w:rsidR="00F82E58" w:rsidRDefault="00F82E58" w:rsidP="00EA0D1F">
      <w:pPr>
        <w:jc w:val="both"/>
      </w:pPr>
    </w:p>
    <w:p w:rsidR="00EE1CEE" w:rsidRPr="00EE1CEE" w:rsidRDefault="00A710BA" w:rsidP="00EA0D1F">
      <w:pPr>
        <w:ind w:left="720" w:hanging="720"/>
        <w:jc w:val="both"/>
      </w:pPr>
      <w:r>
        <w:t>5.</w:t>
      </w:r>
      <w:r w:rsidR="003E7995">
        <w:t>1</w:t>
      </w:r>
      <w:r w:rsidR="003E7995">
        <w:tab/>
      </w:r>
      <w:r w:rsidR="00EE1CEE" w:rsidRPr="00EE1CEE">
        <w:t xml:space="preserve">This policy is aimed at </w:t>
      </w:r>
      <w:r w:rsidR="00284870" w:rsidRPr="00EE1CEE">
        <w:t xml:space="preserve">Advanced </w:t>
      </w:r>
      <w:r w:rsidR="00284870">
        <w:t>Non-Medical Practitioners</w:t>
      </w:r>
      <w:r w:rsidR="00284870" w:rsidRPr="00EE1CEE">
        <w:t xml:space="preserve"> </w:t>
      </w:r>
      <w:r w:rsidR="00EE1CEE" w:rsidRPr="00EE1CEE">
        <w:t xml:space="preserve">that have achieved a level of competence that is recognised by the </w:t>
      </w:r>
      <w:r w:rsidR="0086702B">
        <w:t>NHS Employer</w:t>
      </w:r>
      <w:r w:rsidR="00EE1CEE" w:rsidRPr="00EE1CEE">
        <w:t xml:space="preserve"> and reflected in their role and job description.  </w:t>
      </w:r>
    </w:p>
    <w:p w:rsidR="00F82E58" w:rsidRDefault="00F82E58" w:rsidP="00EA0D1F">
      <w:pPr>
        <w:jc w:val="both"/>
      </w:pPr>
    </w:p>
    <w:p w:rsidR="00EE1CEE" w:rsidRPr="0086702B" w:rsidRDefault="00653C47" w:rsidP="00EA0D1F">
      <w:pPr>
        <w:ind w:left="720" w:hanging="720"/>
        <w:jc w:val="both"/>
      </w:pPr>
      <w:r>
        <w:t>5.2</w:t>
      </w:r>
      <w:r>
        <w:tab/>
      </w:r>
      <w:r w:rsidR="00284870" w:rsidRPr="00EE1CEE">
        <w:t xml:space="preserve">Advanced </w:t>
      </w:r>
      <w:r w:rsidR="00284870">
        <w:t>Non-Medical Practitioners</w:t>
      </w:r>
      <w:r w:rsidR="00284870" w:rsidRPr="00EE1CEE">
        <w:t xml:space="preserve"> </w:t>
      </w:r>
      <w:r w:rsidR="0086702B">
        <w:t xml:space="preserve">must agree specific range and scope of ultrasound examinations they are to refer and provide a specific detailed list of this outcome to the Radiology Department for approval and issue of </w:t>
      </w:r>
      <w:r w:rsidR="0086702B" w:rsidRPr="0086702B">
        <w:rPr>
          <w:u w:val="single"/>
        </w:rPr>
        <w:t>ESR number which MUST be included on ALL referrals along with clear indication of name and designation.</w:t>
      </w:r>
      <w:r w:rsidR="0086702B">
        <w:rPr>
          <w:u w:val="single"/>
        </w:rPr>
        <w:t xml:space="preserve"> </w:t>
      </w:r>
      <w:r w:rsidR="0086702B">
        <w:t xml:space="preserve">The underlined will be subject to </w:t>
      </w:r>
      <w:r w:rsidR="00503C49">
        <w:t>audit.</w:t>
      </w:r>
    </w:p>
    <w:p w:rsidR="00F82E58" w:rsidRDefault="00F82E58" w:rsidP="00EA0D1F">
      <w:pPr>
        <w:jc w:val="both"/>
      </w:pPr>
    </w:p>
    <w:p w:rsidR="00DA4ED1" w:rsidRPr="00EE1CEE" w:rsidRDefault="00DA4ED1" w:rsidP="00EA0D1F">
      <w:pPr>
        <w:jc w:val="both"/>
      </w:pPr>
    </w:p>
    <w:p w:rsidR="00EE1CEE" w:rsidRPr="003E7995" w:rsidRDefault="00A710BA" w:rsidP="00EA0D1F">
      <w:pPr>
        <w:jc w:val="both"/>
        <w:rPr>
          <w:b/>
          <w:sz w:val="28"/>
          <w:szCs w:val="28"/>
        </w:rPr>
      </w:pPr>
      <w:r>
        <w:rPr>
          <w:b/>
          <w:sz w:val="28"/>
          <w:szCs w:val="28"/>
        </w:rPr>
        <w:t>6</w:t>
      </w:r>
      <w:r w:rsidR="003E7995" w:rsidRPr="003E7995">
        <w:rPr>
          <w:b/>
          <w:sz w:val="28"/>
          <w:szCs w:val="28"/>
        </w:rPr>
        <w:t>.0</w:t>
      </w:r>
      <w:r w:rsidR="003E7995" w:rsidRPr="003E7995">
        <w:rPr>
          <w:b/>
          <w:sz w:val="28"/>
          <w:szCs w:val="28"/>
        </w:rPr>
        <w:tab/>
      </w:r>
      <w:r w:rsidR="00EE1CEE" w:rsidRPr="003E7995">
        <w:rPr>
          <w:b/>
          <w:sz w:val="28"/>
          <w:szCs w:val="28"/>
        </w:rPr>
        <w:t>Qualification</w:t>
      </w:r>
      <w:r w:rsidR="003E7995" w:rsidRPr="003E7995">
        <w:rPr>
          <w:b/>
          <w:sz w:val="28"/>
          <w:szCs w:val="28"/>
        </w:rPr>
        <w:t>(s</w:t>
      </w:r>
      <w:r w:rsidR="00EE1CEE" w:rsidRPr="003E7995">
        <w:rPr>
          <w:b/>
          <w:sz w:val="28"/>
          <w:szCs w:val="28"/>
        </w:rPr>
        <w:t>)</w:t>
      </w:r>
    </w:p>
    <w:p w:rsidR="00F82E58" w:rsidRPr="00EE1CEE" w:rsidRDefault="00F82E58" w:rsidP="00EA0D1F">
      <w:pPr>
        <w:jc w:val="both"/>
      </w:pPr>
    </w:p>
    <w:p w:rsidR="00653C47" w:rsidRDefault="00A710BA" w:rsidP="0086702B">
      <w:pPr>
        <w:ind w:left="720" w:hanging="720"/>
        <w:jc w:val="both"/>
      </w:pPr>
      <w:r>
        <w:t>6</w:t>
      </w:r>
      <w:r w:rsidR="003E7995">
        <w:t>.1</w:t>
      </w:r>
      <w:r w:rsidR="003E7995">
        <w:tab/>
      </w:r>
      <w:r w:rsidR="0086702B" w:rsidRPr="0086702B">
        <w:t>All non-medical advanced practitioners intending to request diagnostic investigations must have demonstrated sufficient knowledge and competence to:</w:t>
      </w:r>
    </w:p>
    <w:p w:rsidR="0086702B" w:rsidRDefault="0086702B" w:rsidP="0086702B">
      <w:pPr>
        <w:ind w:left="720" w:hanging="720"/>
        <w:jc w:val="both"/>
      </w:pPr>
    </w:p>
    <w:p w:rsidR="0086702B" w:rsidRDefault="0086702B" w:rsidP="0086702B">
      <w:pPr>
        <w:pStyle w:val="ListParagraph"/>
        <w:numPr>
          <w:ilvl w:val="0"/>
          <w:numId w:val="17"/>
        </w:numPr>
        <w:jc w:val="both"/>
      </w:pPr>
      <w:r>
        <w:t>Assess a patient’s clinical condition</w:t>
      </w:r>
    </w:p>
    <w:p w:rsidR="0086702B" w:rsidRDefault="0086702B" w:rsidP="0086702B">
      <w:pPr>
        <w:pStyle w:val="ListParagraph"/>
        <w:numPr>
          <w:ilvl w:val="0"/>
          <w:numId w:val="17"/>
        </w:numPr>
        <w:jc w:val="both"/>
      </w:pPr>
      <w:r>
        <w:t>Undertake a thorough medical history demonstrated by the possession of a History Taking and Physical Assessment qualification</w:t>
      </w:r>
    </w:p>
    <w:p w:rsidR="0086702B" w:rsidRDefault="0086702B" w:rsidP="0086702B">
      <w:pPr>
        <w:pStyle w:val="ListParagraph"/>
        <w:numPr>
          <w:ilvl w:val="0"/>
          <w:numId w:val="17"/>
        </w:numPr>
        <w:jc w:val="both"/>
      </w:pPr>
      <w:r>
        <w:t>Be able to formulate a differential diagnosis and clinical management plan using result from the investigation they are requesting</w:t>
      </w:r>
    </w:p>
    <w:p w:rsidR="0086702B" w:rsidRDefault="0086702B" w:rsidP="0086702B">
      <w:pPr>
        <w:pStyle w:val="ListParagraph"/>
        <w:jc w:val="both"/>
      </w:pPr>
    </w:p>
    <w:p w:rsidR="0086702B" w:rsidRDefault="0086702B" w:rsidP="0086702B">
      <w:pPr>
        <w:ind w:left="720" w:hanging="720"/>
        <w:jc w:val="both"/>
      </w:pPr>
      <w:r>
        <w:t>6.2</w:t>
      </w:r>
      <w:r>
        <w:tab/>
        <w:t>Evidence would normally be a relevant degree (preferably a higher degree) supported by observed clinical practice (Direct Observation of Procedural Skills/Cased Based Discussion) with continued “fit to practice” assessment at annual appraisal.</w:t>
      </w:r>
    </w:p>
    <w:p w:rsidR="00653C47" w:rsidRPr="003E7995" w:rsidRDefault="00653C47" w:rsidP="00EA0D1F">
      <w:pPr>
        <w:pStyle w:val="ListParagraph"/>
        <w:jc w:val="both"/>
      </w:pPr>
    </w:p>
    <w:p w:rsidR="00653C47" w:rsidRPr="00EE1CEE" w:rsidRDefault="00EE1CEE" w:rsidP="00DA4ED1">
      <w:pPr>
        <w:ind w:left="720" w:hanging="720"/>
        <w:jc w:val="both"/>
      </w:pPr>
      <w:r w:rsidRPr="003E7995">
        <w:t>.</w:t>
      </w:r>
    </w:p>
    <w:p w:rsidR="00EE1CEE" w:rsidRPr="003E7995" w:rsidRDefault="00A710BA" w:rsidP="00EA0D1F">
      <w:pPr>
        <w:jc w:val="both"/>
        <w:rPr>
          <w:b/>
          <w:sz w:val="28"/>
          <w:szCs w:val="28"/>
        </w:rPr>
      </w:pPr>
      <w:r>
        <w:rPr>
          <w:b/>
          <w:sz w:val="28"/>
          <w:szCs w:val="28"/>
        </w:rPr>
        <w:t>7</w:t>
      </w:r>
      <w:r w:rsidR="003E7995" w:rsidRPr="003E7995">
        <w:rPr>
          <w:b/>
          <w:sz w:val="28"/>
          <w:szCs w:val="28"/>
        </w:rPr>
        <w:t>.0</w:t>
      </w:r>
      <w:r w:rsidR="003E7995" w:rsidRPr="003E7995">
        <w:rPr>
          <w:b/>
          <w:sz w:val="28"/>
          <w:szCs w:val="28"/>
        </w:rPr>
        <w:tab/>
      </w:r>
      <w:r w:rsidR="00EE1CEE" w:rsidRPr="003E7995">
        <w:rPr>
          <w:b/>
          <w:sz w:val="28"/>
          <w:szCs w:val="28"/>
        </w:rPr>
        <w:t>Eligibility to request diagnostic investigations</w:t>
      </w:r>
    </w:p>
    <w:p w:rsidR="00F82E58" w:rsidRDefault="00F82E58" w:rsidP="00EA0D1F">
      <w:pPr>
        <w:jc w:val="both"/>
      </w:pPr>
    </w:p>
    <w:p w:rsidR="00EE1CEE" w:rsidRPr="00EE1CEE" w:rsidRDefault="00A710BA" w:rsidP="00EA0D1F">
      <w:pPr>
        <w:ind w:left="720" w:hanging="720"/>
        <w:jc w:val="both"/>
      </w:pPr>
      <w:r>
        <w:t>7</w:t>
      </w:r>
      <w:r w:rsidR="003E7995">
        <w:t>.1</w:t>
      </w:r>
      <w:r w:rsidR="003E7995">
        <w:tab/>
      </w:r>
      <w:r w:rsidR="00284870" w:rsidRPr="00EE1CEE">
        <w:t xml:space="preserve">Advanced </w:t>
      </w:r>
      <w:r w:rsidR="00284870">
        <w:t>Non-Medical Practitioners</w:t>
      </w:r>
      <w:r w:rsidR="00284870" w:rsidRPr="00EE1CEE">
        <w:t xml:space="preserve"> </w:t>
      </w:r>
      <w:r w:rsidR="0086702B">
        <w:t xml:space="preserve">may only request ultrasound investigations for patient who are on their caseload or the caseload for whom they are acting under the supervision of e.g. Senior </w:t>
      </w:r>
      <w:r w:rsidR="009636EF">
        <w:t xml:space="preserve">Medical Practitioner </w:t>
      </w:r>
      <w:r w:rsidR="0086702B">
        <w:t xml:space="preserve"> within the GP Practice</w:t>
      </w:r>
      <w:r w:rsidR="009636EF">
        <w:t xml:space="preserve"> or Community</w:t>
      </w:r>
      <w:r w:rsidR="0086702B">
        <w:t>.</w:t>
      </w:r>
      <w:r w:rsidR="00284870">
        <w:t xml:space="preserve"> Where appropriate, t</w:t>
      </w:r>
      <w:r w:rsidR="0086702B">
        <w:t>he supervising clinician does not need to be physically present but does need to be available for consultation when requested</w:t>
      </w:r>
      <w:r w:rsidR="00503C49">
        <w:t>. There are exceptions to this in form of independently practicing AHPs – this should be formally highlighted in appendix I.</w:t>
      </w:r>
    </w:p>
    <w:p w:rsidR="00F82E58" w:rsidRDefault="00F82E58" w:rsidP="00EA0D1F">
      <w:pPr>
        <w:jc w:val="both"/>
      </w:pPr>
    </w:p>
    <w:p w:rsidR="00EE1CEE" w:rsidRPr="00EE1CEE" w:rsidRDefault="00A710BA" w:rsidP="00EA0D1F">
      <w:pPr>
        <w:ind w:left="720" w:hanging="720"/>
        <w:jc w:val="both"/>
      </w:pPr>
      <w:r>
        <w:t>7</w:t>
      </w:r>
      <w:r w:rsidR="003E7995">
        <w:t>.2</w:t>
      </w:r>
      <w:r w:rsidR="003E7995">
        <w:tab/>
      </w:r>
      <w:r w:rsidR="00EE1CEE" w:rsidRPr="00EE1CEE">
        <w:t xml:space="preserve">As with all other registered professionals </w:t>
      </w:r>
      <w:r w:rsidR="00284870" w:rsidRPr="00EE1CEE">
        <w:t xml:space="preserve">Advanced </w:t>
      </w:r>
      <w:r w:rsidR="00284870">
        <w:t>Non-Medical Practitioners</w:t>
      </w:r>
      <w:r w:rsidR="00284870" w:rsidRPr="00EE1CEE">
        <w:t xml:space="preserve"> </w:t>
      </w:r>
      <w:r w:rsidR="00653C47">
        <w:t>should be</w:t>
      </w:r>
      <w:r w:rsidR="00EE1CEE" w:rsidRPr="00EE1CEE">
        <w:t xml:space="preserve"> state registered and are responsible and accountable for their own professional practice to their registering professional body.  However, as with all non-consultant grades, the </w:t>
      </w:r>
      <w:r w:rsidR="00284870">
        <w:t xml:space="preserve">GP/ Hospital </w:t>
      </w:r>
      <w:r w:rsidR="00EE1CEE" w:rsidRPr="00EE1CEE">
        <w:t>consultant maintains ultimate responsibility for the patient.</w:t>
      </w:r>
    </w:p>
    <w:p w:rsidR="00F82E58" w:rsidRDefault="00F82E58" w:rsidP="00EA0D1F">
      <w:pPr>
        <w:jc w:val="both"/>
      </w:pPr>
    </w:p>
    <w:p w:rsidR="00EE1CEE" w:rsidRPr="00EE1CEE" w:rsidRDefault="00A710BA" w:rsidP="00EA0D1F">
      <w:pPr>
        <w:jc w:val="both"/>
      </w:pPr>
      <w:r>
        <w:t>7</w:t>
      </w:r>
      <w:r w:rsidR="003E7995">
        <w:t>.3</w:t>
      </w:r>
      <w:r w:rsidR="003E7995">
        <w:tab/>
      </w:r>
      <w:r w:rsidR="00EE1CEE" w:rsidRPr="00EE1CEE">
        <w:t xml:space="preserve">All advanced non-medical practitioners are expected to present feedback </w:t>
      </w:r>
    </w:p>
    <w:p w:rsidR="00EE1CEE" w:rsidRPr="00EE1CEE" w:rsidRDefault="00EE1CEE" w:rsidP="00EA0D1F">
      <w:pPr>
        <w:ind w:left="720"/>
        <w:jc w:val="both"/>
      </w:pPr>
      <w:r w:rsidRPr="00EE1CEE">
        <w:t>and discuss their requesting diagnostic investigation practice, benefit to patients and the service and assure on-going competence at their annual appraisal.</w:t>
      </w:r>
    </w:p>
    <w:p w:rsidR="00F82E58" w:rsidRDefault="00F82E58" w:rsidP="00EA0D1F">
      <w:pPr>
        <w:jc w:val="both"/>
      </w:pPr>
    </w:p>
    <w:p w:rsidR="00EE1CEE" w:rsidRPr="00EE1CEE" w:rsidRDefault="00A710BA" w:rsidP="00EA0D1F">
      <w:pPr>
        <w:ind w:left="720" w:hanging="720"/>
        <w:jc w:val="both"/>
      </w:pPr>
      <w:r>
        <w:t>7</w:t>
      </w:r>
      <w:r w:rsidR="0086702B">
        <w:t>.4</w:t>
      </w:r>
      <w:r w:rsidR="003E7995">
        <w:tab/>
      </w:r>
      <w:r w:rsidR="0086702B">
        <w:t>It is recommended that the practice provides training specifically to highlight the best use of ultrasound examinations</w:t>
      </w:r>
      <w:r>
        <w:t xml:space="preserve"> </w:t>
      </w:r>
    </w:p>
    <w:p w:rsidR="00F82E58" w:rsidRDefault="00F82E58" w:rsidP="00EA0D1F">
      <w:pPr>
        <w:jc w:val="both"/>
      </w:pPr>
    </w:p>
    <w:p w:rsidR="00F82E58" w:rsidRDefault="0086702B" w:rsidP="00EA0D1F">
      <w:pPr>
        <w:ind w:left="720" w:hanging="720"/>
        <w:jc w:val="both"/>
      </w:pPr>
      <w:bookmarkStart w:id="11" w:name="_Toc360800791"/>
      <w:bookmarkStart w:id="12" w:name="_Toc360802734"/>
      <w:r>
        <w:t>7.5</w:t>
      </w:r>
      <w:r w:rsidR="00653C47">
        <w:tab/>
        <w:t>All advanced practitioners working under this policy must be formally registered under this policy to do so.</w:t>
      </w:r>
    </w:p>
    <w:p w:rsidR="00F82E58" w:rsidRDefault="00F82E58" w:rsidP="00EA0D1F">
      <w:pPr>
        <w:jc w:val="both"/>
      </w:pPr>
    </w:p>
    <w:p w:rsidR="00F82E58" w:rsidRDefault="00F82E58" w:rsidP="00EA0D1F">
      <w:pPr>
        <w:jc w:val="both"/>
      </w:pPr>
      <w:bookmarkStart w:id="13" w:name="_Toc360800792"/>
      <w:bookmarkStart w:id="14" w:name="_Toc360802736"/>
      <w:bookmarkEnd w:id="11"/>
      <w:bookmarkEnd w:id="12"/>
    </w:p>
    <w:p w:rsidR="00E42C08" w:rsidRPr="00653C47" w:rsidRDefault="00EE1CEE" w:rsidP="00DA4ED1">
      <w:pPr>
        <w:pStyle w:val="ListParagraph"/>
        <w:numPr>
          <w:ilvl w:val="0"/>
          <w:numId w:val="13"/>
        </w:numPr>
        <w:ind w:left="709" w:hanging="709"/>
        <w:jc w:val="both"/>
        <w:rPr>
          <w:b/>
          <w:sz w:val="28"/>
          <w:szCs w:val="28"/>
        </w:rPr>
      </w:pPr>
      <w:r w:rsidRPr="00653C47">
        <w:rPr>
          <w:b/>
          <w:sz w:val="28"/>
          <w:szCs w:val="28"/>
        </w:rPr>
        <w:t>Implementation, Monitoring and Review</w:t>
      </w:r>
      <w:bookmarkEnd w:id="13"/>
      <w:bookmarkEnd w:id="14"/>
    </w:p>
    <w:p w:rsidR="00D853DE" w:rsidRPr="00D853DE" w:rsidRDefault="00D853DE" w:rsidP="00EA0D1F">
      <w:pPr>
        <w:pStyle w:val="ListParagraph"/>
        <w:ind w:left="1080"/>
        <w:jc w:val="both"/>
        <w:rPr>
          <w:b/>
          <w:sz w:val="28"/>
          <w:szCs w:val="28"/>
        </w:rPr>
      </w:pPr>
    </w:p>
    <w:p w:rsidR="0086702B" w:rsidRDefault="00EE1CEE" w:rsidP="0086702B">
      <w:pPr>
        <w:jc w:val="both"/>
      </w:pPr>
      <w:r w:rsidRPr="00EE1CEE">
        <w:t xml:space="preserve">Following approval the policy will be </w:t>
      </w:r>
      <w:r w:rsidR="0086702B">
        <w:t>available</w:t>
      </w:r>
      <w:r w:rsidRPr="00EE1CEE">
        <w:t xml:space="preserve"> dissemination and circulated to all</w:t>
      </w:r>
      <w:r w:rsidR="00ED2AA3">
        <w:t xml:space="preserve"> </w:t>
      </w:r>
      <w:r w:rsidR="0086702B">
        <w:t>Lincolnshire CCGs</w:t>
      </w:r>
    </w:p>
    <w:p w:rsidR="0086702B" w:rsidRDefault="0086702B" w:rsidP="0086702B">
      <w:pPr>
        <w:jc w:val="both"/>
      </w:pPr>
    </w:p>
    <w:p w:rsidR="0086702B" w:rsidRDefault="0086702B" w:rsidP="0086702B">
      <w:pPr>
        <w:pStyle w:val="ListParagraph"/>
        <w:numPr>
          <w:ilvl w:val="0"/>
          <w:numId w:val="13"/>
        </w:numPr>
        <w:ind w:left="0" w:firstLine="0"/>
        <w:jc w:val="both"/>
        <w:rPr>
          <w:b/>
          <w:sz w:val="28"/>
        </w:rPr>
      </w:pPr>
      <w:r>
        <w:rPr>
          <w:b/>
          <w:sz w:val="28"/>
        </w:rPr>
        <w:t>Associated Documentation</w:t>
      </w:r>
    </w:p>
    <w:p w:rsidR="0086702B" w:rsidRDefault="0086702B" w:rsidP="0086702B">
      <w:pPr>
        <w:jc w:val="both"/>
        <w:rPr>
          <w:b/>
          <w:sz w:val="28"/>
        </w:rPr>
      </w:pPr>
    </w:p>
    <w:p w:rsidR="0086702B" w:rsidRPr="0086702B" w:rsidRDefault="0086702B" w:rsidP="0086702B">
      <w:pPr>
        <w:jc w:val="both"/>
      </w:pPr>
      <w:r>
        <w:t xml:space="preserve">This Policy MUST be used conjunction with </w:t>
      </w:r>
      <w:r w:rsidRPr="0086702B">
        <w:rPr>
          <w:u w:val="single"/>
        </w:rPr>
        <w:t>Best Practice Guidelines for Referral of General Medical Ultrasound Examinations</w:t>
      </w:r>
      <w:r>
        <w:rPr>
          <w:u w:val="single"/>
        </w:rPr>
        <w:t xml:space="preserve"> </w:t>
      </w:r>
      <w:r w:rsidRPr="0086702B">
        <w:t>(approved January 2018/review dated January 2020)</w:t>
      </w:r>
    </w:p>
    <w:p w:rsidR="00DA4ED1" w:rsidRDefault="0086702B" w:rsidP="009636EF">
      <w:pPr>
        <w:jc w:val="both"/>
      </w:pPr>
      <w:r>
        <w:tab/>
      </w:r>
      <w:r>
        <w:tab/>
      </w:r>
      <w:r>
        <w:tab/>
      </w:r>
      <w:r>
        <w:tab/>
      </w:r>
    </w:p>
    <w:p w:rsidR="00DA4ED1" w:rsidRPr="00B151CC" w:rsidRDefault="00DA4ED1" w:rsidP="00DA4ED1">
      <w:pPr>
        <w:pStyle w:val="Heading1"/>
        <w:spacing w:before="0" w:after="0" w:line="240" w:lineRule="auto"/>
        <w:ind w:left="-658" w:firstLine="658"/>
        <w:rPr>
          <w:sz w:val="24"/>
        </w:rPr>
      </w:pPr>
      <w:bookmarkStart w:id="15" w:name="_Toc387411389"/>
      <w:bookmarkStart w:id="16" w:name="_Toc468451742"/>
      <w:r w:rsidRPr="003465D4">
        <w:rPr>
          <w:sz w:val="24"/>
        </w:rPr>
        <w:t>Monitoring Complianc</w:t>
      </w:r>
      <w:bookmarkEnd w:id="15"/>
      <w:bookmarkEnd w:id="16"/>
      <w:r w:rsidR="00B151CC" w:rsidRPr="003465D4">
        <w:rPr>
          <w:sz w:val="24"/>
        </w:rPr>
        <w:t>e</w:t>
      </w:r>
    </w:p>
    <w:p w:rsidR="00DA4ED1" w:rsidRPr="00BF487D" w:rsidRDefault="00DA4ED1" w:rsidP="00DA4ED1"/>
    <w:tbl>
      <w:tblPr>
        <w:tblW w:w="102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1847"/>
        <w:gridCol w:w="1697"/>
        <w:gridCol w:w="1697"/>
        <w:gridCol w:w="2555"/>
      </w:tblGrid>
      <w:tr w:rsidR="00DA4ED1" w:rsidRPr="003D7B26" w:rsidTr="0040223F">
        <w:tc>
          <w:tcPr>
            <w:tcW w:w="2501" w:type="dxa"/>
            <w:shd w:val="clear" w:color="auto" w:fill="auto"/>
            <w:tcMar>
              <w:left w:w="57" w:type="dxa"/>
              <w:right w:w="57" w:type="dxa"/>
            </w:tcMar>
          </w:tcPr>
          <w:p w:rsidR="00DA4ED1" w:rsidRPr="003D7B26" w:rsidRDefault="00DA4ED1" w:rsidP="0040223F">
            <w:pPr>
              <w:rPr>
                <w:rFonts w:cs="Arial"/>
                <w:b/>
                <w:sz w:val="18"/>
                <w:szCs w:val="18"/>
              </w:rPr>
            </w:pPr>
            <w:r w:rsidRPr="003D7B26">
              <w:rPr>
                <w:rFonts w:cs="Arial"/>
                <w:b/>
                <w:sz w:val="18"/>
                <w:szCs w:val="18"/>
              </w:rPr>
              <w:t xml:space="preserve">Minimum requirement to be monitored –monitoring against standards set out in policy </w:t>
            </w:r>
          </w:p>
        </w:tc>
        <w:tc>
          <w:tcPr>
            <w:tcW w:w="1847" w:type="dxa"/>
            <w:shd w:val="clear" w:color="auto" w:fill="auto"/>
            <w:tcMar>
              <w:left w:w="57" w:type="dxa"/>
              <w:right w:w="57" w:type="dxa"/>
            </w:tcMar>
          </w:tcPr>
          <w:p w:rsidR="00DA4ED1" w:rsidRPr="003D7B26" w:rsidRDefault="00DA4ED1" w:rsidP="0040223F">
            <w:pPr>
              <w:rPr>
                <w:rFonts w:cs="Arial"/>
                <w:b/>
                <w:sz w:val="18"/>
                <w:szCs w:val="18"/>
              </w:rPr>
            </w:pPr>
            <w:r w:rsidRPr="003D7B26">
              <w:rPr>
                <w:rFonts w:cs="Arial"/>
                <w:b/>
                <w:sz w:val="18"/>
                <w:szCs w:val="18"/>
              </w:rPr>
              <w:t xml:space="preserve">Process for monitoring </w:t>
            </w:r>
          </w:p>
          <w:p w:rsidR="00DA4ED1" w:rsidRPr="003D7B26" w:rsidRDefault="00DA4ED1" w:rsidP="0040223F">
            <w:pPr>
              <w:rPr>
                <w:rFonts w:cs="Arial"/>
                <w:b/>
                <w:sz w:val="18"/>
                <w:szCs w:val="18"/>
              </w:rPr>
            </w:pPr>
            <w:r w:rsidRPr="003D7B26">
              <w:rPr>
                <w:rFonts w:cs="Arial"/>
                <w:b/>
                <w:sz w:val="18"/>
                <w:szCs w:val="18"/>
              </w:rPr>
              <w:t>e.g. audit</w:t>
            </w:r>
          </w:p>
        </w:tc>
        <w:tc>
          <w:tcPr>
            <w:tcW w:w="1697" w:type="dxa"/>
            <w:shd w:val="clear" w:color="auto" w:fill="auto"/>
            <w:tcMar>
              <w:left w:w="57" w:type="dxa"/>
              <w:right w:w="57" w:type="dxa"/>
            </w:tcMar>
          </w:tcPr>
          <w:p w:rsidR="00DA4ED1" w:rsidRPr="003D7B26" w:rsidRDefault="00DA4ED1" w:rsidP="0040223F">
            <w:pPr>
              <w:rPr>
                <w:rFonts w:cs="Arial"/>
                <w:b/>
                <w:sz w:val="18"/>
                <w:szCs w:val="18"/>
              </w:rPr>
            </w:pPr>
            <w:r w:rsidRPr="003D7B26">
              <w:rPr>
                <w:rFonts w:cs="Arial"/>
                <w:b/>
                <w:sz w:val="18"/>
                <w:szCs w:val="18"/>
              </w:rPr>
              <w:t>Responsible individuals/ group/ committee</w:t>
            </w:r>
          </w:p>
        </w:tc>
        <w:tc>
          <w:tcPr>
            <w:tcW w:w="1697" w:type="dxa"/>
            <w:shd w:val="clear" w:color="auto" w:fill="auto"/>
            <w:tcMar>
              <w:left w:w="57" w:type="dxa"/>
              <w:right w:w="57" w:type="dxa"/>
            </w:tcMar>
          </w:tcPr>
          <w:p w:rsidR="00DA4ED1" w:rsidRPr="003D7B26" w:rsidRDefault="00DA4ED1" w:rsidP="0040223F">
            <w:pPr>
              <w:rPr>
                <w:rFonts w:cs="Arial"/>
                <w:b/>
                <w:sz w:val="18"/>
                <w:szCs w:val="18"/>
              </w:rPr>
            </w:pPr>
            <w:r w:rsidRPr="003D7B26">
              <w:rPr>
                <w:rFonts w:cs="Arial"/>
                <w:b/>
                <w:sz w:val="18"/>
                <w:szCs w:val="18"/>
              </w:rPr>
              <w:t>Frequency of monitoring/ audit/ reporting</w:t>
            </w:r>
          </w:p>
        </w:tc>
        <w:tc>
          <w:tcPr>
            <w:tcW w:w="2555" w:type="dxa"/>
            <w:shd w:val="clear" w:color="auto" w:fill="auto"/>
            <w:tcMar>
              <w:left w:w="57" w:type="dxa"/>
              <w:right w:w="57" w:type="dxa"/>
            </w:tcMar>
          </w:tcPr>
          <w:p w:rsidR="00DA4ED1" w:rsidRPr="003D7B26" w:rsidRDefault="00DA4ED1" w:rsidP="0040223F">
            <w:pPr>
              <w:ind w:left="11"/>
              <w:rPr>
                <w:rFonts w:cs="Arial"/>
                <w:b/>
                <w:sz w:val="18"/>
                <w:szCs w:val="18"/>
              </w:rPr>
            </w:pPr>
            <w:r w:rsidRPr="003D7B26">
              <w:rPr>
                <w:rFonts w:cs="Arial"/>
                <w:b/>
                <w:sz w:val="18"/>
                <w:szCs w:val="18"/>
              </w:rPr>
              <w:t>Responsible individuals/ group/ committee for review of results and determining actions required</w:t>
            </w:r>
          </w:p>
        </w:tc>
      </w:tr>
      <w:tr w:rsidR="00DA4ED1" w:rsidRPr="003D7B26" w:rsidTr="0040223F">
        <w:tc>
          <w:tcPr>
            <w:tcW w:w="2501" w:type="dxa"/>
            <w:shd w:val="clear" w:color="auto" w:fill="auto"/>
            <w:tcMar>
              <w:left w:w="57" w:type="dxa"/>
              <w:right w:w="57" w:type="dxa"/>
            </w:tcMar>
          </w:tcPr>
          <w:p w:rsidR="00DA4ED1" w:rsidRPr="00B151CC" w:rsidRDefault="00B151CC" w:rsidP="0086702B">
            <w:pPr>
              <w:rPr>
                <w:rFonts w:cs="Arial"/>
                <w:szCs w:val="24"/>
              </w:rPr>
            </w:pPr>
            <w:r w:rsidRPr="00B151CC">
              <w:rPr>
                <w:rFonts w:cs="Arial"/>
                <w:szCs w:val="24"/>
              </w:rPr>
              <w:t xml:space="preserve">Compliance </w:t>
            </w:r>
            <w:r w:rsidR="0086702B">
              <w:rPr>
                <w:rFonts w:cs="Arial"/>
                <w:szCs w:val="24"/>
              </w:rPr>
              <w:t xml:space="preserve">ULHT Ultrasound referral guidelines </w:t>
            </w:r>
          </w:p>
        </w:tc>
        <w:tc>
          <w:tcPr>
            <w:tcW w:w="1847" w:type="dxa"/>
            <w:shd w:val="clear" w:color="auto" w:fill="auto"/>
            <w:tcMar>
              <w:left w:w="57" w:type="dxa"/>
              <w:right w:w="57" w:type="dxa"/>
            </w:tcMar>
          </w:tcPr>
          <w:p w:rsidR="00DA4ED1" w:rsidRPr="00B151CC" w:rsidRDefault="00B151CC" w:rsidP="0040223F">
            <w:pPr>
              <w:rPr>
                <w:rFonts w:cs="Arial"/>
                <w:szCs w:val="24"/>
              </w:rPr>
            </w:pPr>
            <w:r w:rsidRPr="00B151CC">
              <w:rPr>
                <w:rFonts w:cs="Arial"/>
                <w:szCs w:val="24"/>
              </w:rPr>
              <w:t>Audit</w:t>
            </w:r>
          </w:p>
        </w:tc>
        <w:tc>
          <w:tcPr>
            <w:tcW w:w="1697" w:type="dxa"/>
            <w:shd w:val="clear" w:color="auto" w:fill="auto"/>
            <w:tcMar>
              <w:left w:w="57" w:type="dxa"/>
              <w:right w:w="57" w:type="dxa"/>
            </w:tcMar>
            <w:vAlign w:val="center"/>
          </w:tcPr>
          <w:p w:rsidR="00DA4ED1" w:rsidRPr="00B151CC" w:rsidRDefault="00B151CC" w:rsidP="0040223F">
            <w:pPr>
              <w:rPr>
                <w:rFonts w:cs="Arial"/>
                <w:szCs w:val="24"/>
              </w:rPr>
            </w:pPr>
            <w:r w:rsidRPr="00B151CC">
              <w:rPr>
                <w:rFonts w:cs="Arial"/>
                <w:szCs w:val="24"/>
              </w:rPr>
              <w:t>M</w:t>
            </w:r>
            <w:r>
              <w:rPr>
                <w:rFonts w:cs="Arial"/>
                <w:szCs w:val="24"/>
              </w:rPr>
              <w:t xml:space="preserve">edical </w:t>
            </w:r>
            <w:r w:rsidRPr="00B151CC">
              <w:rPr>
                <w:rFonts w:cs="Arial"/>
                <w:szCs w:val="24"/>
              </w:rPr>
              <w:t>E</w:t>
            </w:r>
            <w:r>
              <w:rPr>
                <w:rFonts w:cs="Arial"/>
                <w:szCs w:val="24"/>
              </w:rPr>
              <w:t xml:space="preserve">xposures </w:t>
            </w:r>
            <w:r w:rsidRPr="00B151CC">
              <w:rPr>
                <w:rFonts w:cs="Arial"/>
                <w:szCs w:val="24"/>
              </w:rPr>
              <w:t>C</w:t>
            </w:r>
            <w:r>
              <w:rPr>
                <w:rFonts w:cs="Arial"/>
                <w:szCs w:val="24"/>
              </w:rPr>
              <w:t>ommittee (MEC)</w:t>
            </w:r>
          </w:p>
        </w:tc>
        <w:tc>
          <w:tcPr>
            <w:tcW w:w="1697" w:type="dxa"/>
            <w:shd w:val="clear" w:color="auto" w:fill="auto"/>
            <w:tcMar>
              <w:left w:w="57" w:type="dxa"/>
              <w:right w:w="57" w:type="dxa"/>
            </w:tcMar>
          </w:tcPr>
          <w:p w:rsidR="00DA4ED1" w:rsidRPr="00B151CC" w:rsidRDefault="00B151CC" w:rsidP="0040223F">
            <w:pPr>
              <w:rPr>
                <w:rFonts w:cs="Arial"/>
                <w:szCs w:val="24"/>
              </w:rPr>
            </w:pPr>
            <w:r w:rsidRPr="00B151CC">
              <w:rPr>
                <w:rFonts w:cs="Arial"/>
                <w:szCs w:val="24"/>
              </w:rPr>
              <w:t>Annual</w:t>
            </w:r>
          </w:p>
        </w:tc>
        <w:tc>
          <w:tcPr>
            <w:tcW w:w="2555" w:type="dxa"/>
            <w:shd w:val="clear" w:color="auto" w:fill="auto"/>
            <w:tcMar>
              <w:left w:w="57" w:type="dxa"/>
              <w:right w:w="57" w:type="dxa"/>
            </w:tcMar>
          </w:tcPr>
          <w:p w:rsidR="00DA4ED1" w:rsidRPr="00B151CC" w:rsidRDefault="0086702B" w:rsidP="0040223F">
            <w:pPr>
              <w:ind w:left="11"/>
              <w:rPr>
                <w:rFonts w:cs="Arial"/>
                <w:szCs w:val="24"/>
              </w:rPr>
            </w:pPr>
            <w:r>
              <w:rPr>
                <w:rFonts w:cs="Arial"/>
                <w:szCs w:val="24"/>
              </w:rPr>
              <w:t>Ultrasound Services Manager/</w:t>
            </w:r>
            <w:r w:rsidR="00B151CC" w:rsidRPr="00B151CC">
              <w:rPr>
                <w:rFonts w:cs="Arial"/>
                <w:szCs w:val="24"/>
              </w:rPr>
              <w:t>MEC</w:t>
            </w:r>
          </w:p>
        </w:tc>
      </w:tr>
    </w:tbl>
    <w:p w:rsidR="0086702B" w:rsidRDefault="0086702B" w:rsidP="00EE1CEE">
      <w:pPr>
        <w:rPr>
          <w:b/>
          <w:bCs/>
          <w:sz w:val="28"/>
          <w:szCs w:val="28"/>
        </w:rPr>
      </w:pPr>
    </w:p>
    <w:tbl>
      <w:tblPr>
        <w:tblStyle w:val="TableGrid"/>
        <w:tblW w:w="0" w:type="auto"/>
        <w:tblLook w:val="04A0" w:firstRow="1" w:lastRow="0" w:firstColumn="1" w:lastColumn="0" w:noHBand="0" w:noVBand="1"/>
      </w:tblPr>
      <w:tblGrid>
        <w:gridCol w:w="4621"/>
        <w:gridCol w:w="4621"/>
      </w:tblGrid>
      <w:tr w:rsidR="00197B69" w:rsidTr="00827622">
        <w:tc>
          <w:tcPr>
            <w:tcW w:w="9242" w:type="dxa"/>
            <w:gridSpan w:val="2"/>
          </w:tcPr>
          <w:p w:rsidR="00197B69" w:rsidRPr="00197B69" w:rsidRDefault="00197B69" w:rsidP="00197B69">
            <w:pPr>
              <w:rPr>
                <w:bCs/>
                <w:sz w:val="28"/>
                <w:szCs w:val="28"/>
              </w:rPr>
            </w:pPr>
            <w:r>
              <w:rPr>
                <w:b/>
                <w:bCs/>
                <w:sz w:val="28"/>
                <w:szCs w:val="28"/>
              </w:rPr>
              <w:t xml:space="preserve">Appendix I: </w:t>
            </w:r>
            <w:r>
              <w:rPr>
                <w:bCs/>
                <w:sz w:val="28"/>
                <w:szCs w:val="28"/>
              </w:rPr>
              <w:t xml:space="preserve">Registration of </w:t>
            </w:r>
            <w:r w:rsidR="00284870" w:rsidRPr="00284870">
              <w:rPr>
                <w:sz w:val="28"/>
              </w:rPr>
              <w:t xml:space="preserve">Advanced Non-Medical Practitioners </w:t>
            </w:r>
            <w:r>
              <w:rPr>
                <w:bCs/>
                <w:sz w:val="28"/>
                <w:szCs w:val="28"/>
              </w:rPr>
              <w:t>in Primary Care for the requesting of Ultrasound Examinations</w:t>
            </w:r>
          </w:p>
        </w:tc>
      </w:tr>
      <w:tr w:rsidR="00197B69" w:rsidTr="00197B69">
        <w:tc>
          <w:tcPr>
            <w:tcW w:w="4621" w:type="dxa"/>
          </w:tcPr>
          <w:p w:rsidR="00197B69" w:rsidRPr="00197B69" w:rsidRDefault="00197B69" w:rsidP="00EE1CEE">
            <w:pPr>
              <w:rPr>
                <w:b/>
                <w:bCs/>
                <w:szCs w:val="28"/>
              </w:rPr>
            </w:pPr>
            <w:r w:rsidRPr="00197B69">
              <w:rPr>
                <w:b/>
                <w:bCs/>
                <w:szCs w:val="28"/>
              </w:rPr>
              <w:t>Name</w:t>
            </w:r>
          </w:p>
        </w:tc>
        <w:tc>
          <w:tcPr>
            <w:tcW w:w="4621" w:type="dxa"/>
          </w:tcPr>
          <w:p w:rsidR="00197B69" w:rsidRDefault="00197B69" w:rsidP="00EE1CEE">
            <w:pPr>
              <w:rPr>
                <w:b/>
                <w:bCs/>
                <w:sz w:val="28"/>
                <w:szCs w:val="28"/>
              </w:rPr>
            </w:pPr>
          </w:p>
        </w:tc>
      </w:tr>
      <w:tr w:rsidR="00197B69" w:rsidTr="00197B69">
        <w:tc>
          <w:tcPr>
            <w:tcW w:w="4621" w:type="dxa"/>
          </w:tcPr>
          <w:p w:rsidR="00197B69" w:rsidRPr="00197B69" w:rsidRDefault="00197B69" w:rsidP="00EE1CEE">
            <w:pPr>
              <w:rPr>
                <w:b/>
                <w:bCs/>
                <w:szCs w:val="28"/>
              </w:rPr>
            </w:pPr>
            <w:r w:rsidRPr="00197B69">
              <w:rPr>
                <w:b/>
                <w:bCs/>
                <w:szCs w:val="28"/>
              </w:rPr>
              <w:t>Designation</w:t>
            </w:r>
          </w:p>
        </w:tc>
        <w:tc>
          <w:tcPr>
            <w:tcW w:w="4621" w:type="dxa"/>
          </w:tcPr>
          <w:p w:rsidR="00197B69" w:rsidRDefault="00197B69" w:rsidP="00EE1CEE">
            <w:pPr>
              <w:rPr>
                <w:b/>
                <w:bCs/>
                <w:sz w:val="28"/>
                <w:szCs w:val="28"/>
              </w:rPr>
            </w:pPr>
          </w:p>
        </w:tc>
      </w:tr>
      <w:tr w:rsidR="00197B69" w:rsidTr="00197B69">
        <w:tc>
          <w:tcPr>
            <w:tcW w:w="4621" w:type="dxa"/>
          </w:tcPr>
          <w:p w:rsidR="00197B69" w:rsidRPr="00197B69" w:rsidRDefault="00197B69" w:rsidP="00EE1CEE">
            <w:pPr>
              <w:rPr>
                <w:b/>
                <w:bCs/>
                <w:szCs w:val="28"/>
              </w:rPr>
            </w:pPr>
            <w:r w:rsidRPr="00197B69">
              <w:rPr>
                <w:b/>
                <w:bCs/>
                <w:szCs w:val="28"/>
              </w:rPr>
              <w:t>E-mail Address</w:t>
            </w:r>
          </w:p>
        </w:tc>
        <w:tc>
          <w:tcPr>
            <w:tcW w:w="4621" w:type="dxa"/>
          </w:tcPr>
          <w:p w:rsidR="00197B69" w:rsidRDefault="00197B69" w:rsidP="00EE1CEE">
            <w:pPr>
              <w:rPr>
                <w:b/>
                <w:bCs/>
                <w:sz w:val="28"/>
                <w:szCs w:val="28"/>
              </w:rPr>
            </w:pPr>
          </w:p>
        </w:tc>
      </w:tr>
      <w:tr w:rsidR="00197B69" w:rsidTr="00197B69">
        <w:tc>
          <w:tcPr>
            <w:tcW w:w="4621" w:type="dxa"/>
          </w:tcPr>
          <w:p w:rsidR="00197B69" w:rsidRPr="00197B69" w:rsidRDefault="00197B69" w:rsidP="00EE1CEE">
            <w:pPr>
              <w:rPr>
                <w:b/>
                <w:bCs/>
                <w:szCs w:val="28"/>
              </w:rPr>
            </w:pPr>
            <w:r w:rsidRPr="00197B69">
              <w:rPr>
                <w:b/>
                <w:bCs/>
                <w:szCs w:val="28"/>
              </w:rPr>
              <w:t>Professional Registration Number</w:t>
            </w:r>
          </w:p>
        </w:tc>
        <w:tc>
          <w:tcPr>
            <w:tcW w:w="4621" w:type="dxa"/>
          </w:tcPr>
          <w:p w:rsidR="00197B69" w:rsidRDefault="00197B69" w:rsidP="00EE1CEE">
            <w:pPr>
              <w:rPr>
                <w:b/>
                <w:bCs/>
                <w:sz w:val="28"/>
                <w:szCs w:val="28"/>
              </w:rPr>
            </w:pPr>
          </w:p>
        </w:tc>
      </w:tr>
      <w:tr w:rsidR="00197B69" w:rsidTr="00197B69">
        <w:tc>
          <w:tcPr>
            <w:tcW w:w="4621" w:type="dxa"/>
          </w:tcPr>
          <w:p w:rsidR="00197B69" w:rsidRPr="00197B69" w:rsidRDefault="00197B69" w:rsidP="00EE1CEE">
            <w:pPr>
              <w:rPr>
                <w:b/>
                <w:bCs/>
                <w:szCs w:val="28"/>
              </w:rPr>
            </w:pPr>
            <w:r w:rsidRPr="00197B69">
              <w:rPr>
                <w:b/>
                <w:bCs/>
                <w:szCs w:val="28"/>
              </w:rPr>
              <w:t>Non-Medical Prescriber (Please circle)</w:t>
            </w:r>
          </w:p>
        </w:tc>
        <w:tc>
          <w:tcPr>
            <w:tcW w:w="4621" w:type="dxa"/>
          </w:tcPr>
          <w:p w:rsidR="00197B69" w:rsidRDefault="00197B69" w:rsidP="00197B69">
            <w:pPr>
              <w:jc w:val="center"/>
              <w:rPr>
                <w:b/>
                <w:bCs/>
                <w:sz w:val="28"/>
                <w:szCs w:val="28"/>
              </w:rPr>
            </w:pPr>
            <w:r>
              <w:rPr>
                <w:b/>
                <w:bCs/>
                <w:sz w:val="28"/>
                <w:szCs w:val="28"/>
              </w:rPr>
              <w:t>Yes/No</w:t>
            </w:r>
          </w:p>
        </w:tc>
      </w:tr>
      <w:tr w:rsidR="00197B69" w:rsidTr="00844EB4">
        <w:tc>
          <w:tcPr>
            <w:tcW w:w="9242" w:type="dxa"/>
            <w:gridSpan w:val="2"/>
          </w:tcPr>
          <w:p w:rsidR="00197B69" w:rsidRPr="00197B69" w:rsidRDefault="00197B69" w:rsidP="00EE1CEE">
            <w:pPr>
              <w:rPr>
                <w:b/>
                <w:bCs/>
                <w:szCs w:val="28"/>
              </w:rPr>
            </w:pPr>
            <w:r w:rsidRPr="00197B69">
              <w:rPr>
                <w:b/>
                <w:bCs/>
                <w:szCs w:val="28"/>
              </w:rPr>
              <w:t>Details of Agreed Ultrasound Investigations :</w:t>
            </w:r>
          </w:p>
          <w:p w:rsidR="00197B69" w:rsidRPr="00197B69" w:rsidRDefault="00197B69" w:rsidP="00EE1CEE">
            <w:pPr>
              <w:rPr>
                <w:b/>
                <w:bCs/>
                <w:szCs w:val="28"/>
              </w:rPr>
            </w:pPr>
          </w:p>
          <w:p w:rsidR="00197B69" w:rsidRPr="00197B69" w:rsidRDefault="00197B69" w:rsidP="00EE1CEE">
            <w:pPr>
              <w:rPr>
                <w:b/>
                <w:bCs/>
                <w:szCs w:val="28"/>
              </w:rPr>
            </w:pPr>
          </w:p>
          <w:p w:rsidR="00197B69" w:rsidRPr="00197B69" w:rsidRDefault="00197B69" w:rsidP="00EE1CEE">
            <w:pPr>
              <w:rPr>
                <w:b/>
                <w:bCs/>
                <w:szCs w:val="28"/>
              </w:rPr>
            </w:pPr>
          </w:p>
          <w:p w:rsidR="00197B69" w:rsidRPr="00197B69" w:rsidRDefault="00197B69" w:rsidP="00EE1CEE">
            <w:pPr>
              <w:rPr>
                <w:b/>
                <w:bCs/>
                <w:szCs w:val="28"/>
              </w:rPr>
            </w:pPr>
          </w:p>
          <w:p w:rsidR="00197B69" w:rsidRPr="00197B69" w:rsidRDefault="00197B69" w:rsidP="00EE1CEE">
            <w:pPr>
              <w:rPr>
                <w:b/>
                <w:bCs/>
                <w:szCs w:val="28"/>
              </w:rPr>
            </w:pPr>
          </w:p>
          <w:p w:rsidR="00197B69" w:rsidRPr="00197B69" w:rsidRDefault="00197B69" w:rsidP="00EE1CEE">
            <w:pPr>
              <w:rPr>
                <w:b/>
                <w:bCs/>
                <w:szCs w:val="28"/>
              </w:rPr>
            </w:pPr>
          </w:p>
          <w:p w:rsidR="00197B69" w:rsidRPr="00197B69" w:rsidRDefault="00197B69" w:rsidP="00EE1CEE">
            <w:pPr>
              <w:rPr>
                <w:b/>
                <w:bCs/>
                <w:szCs w:val="28"/>
              </w:rPr>
            </w:pPr>
          </w:p>
          <w:p w:rsidR="00197B69" w:rsidRPr="00197B69" w:rsidRDefault="00197B69" w:rsidP="00EE1CEE">
            <w:pPr>
              <w:rPr>
                <w:b/>
                <w:bCs/>
                <w:szCs w:val="28"/>
              </w:rPr>
            </w:pPr>
          </w:p>
          <w:p w:rsidR="00197B69" w:rsidRPr="00197B69" w:rsidRDefault="00197B69" w:rsidP="00EE1CEE">
            <w:pPr>
              <w:rPr>
                <w:b/>
                <w:bCs/>
                <w:szCs w:val="28"/>
              </w:rPr>
            </w:pPr>
          </w:p>
          <w:p w:rsidR="00197B69" w:rsidRPr="00197B69" w:rsidRDefault="00197B69" w:rsidP="00EE1CEE">
            <w:pPr>
              <w:rPr>
                <w:b/>
                <w:bCs/>
                <w:szCs w:val="28"/>
              </w:rPr>
            </w:pPr>
          </w:p>
        </w:tc>
      </w:tr>
      <w:tr w:rsidR="00197B69" w:rsidTr="00197B69">
        <w:tc>
          <w:tcPr>
            <w:tcW w:w="4621" w:type="dxa"/>
          </w:tcPr>
          <w:p w:rsidR="00197B69" w:rsidRPr="00197B69" w:rsidRDefault="00197B69" w:rsidP="00EE1CEE">
            <w:pPr>
              <w:rPr>
                <w:b/>
                <w:bCs/>
                <w:szCs w:val="28"/>
              </w:rPr>
            </w:pPr>
            <w:r w:rsidRPr="00197B69">
              <w:rPr>
                <w:b/>
                <w:bCs/>
                <w:szCs w:val="28"/>
              </w:rPr>
              <w:t>Signature of named person above</w:t>
            </w:r>
          </w:p>
        </w:tc>
        <w:tc>
          <w:tcPr>
            <w:tcW w:w="4621" w:type="dxa"/>
          </w:tcPr>
          <w:p w:rsidR="00197B69" w:rsidRDefault="00197B69" w:rsidP="00EE1CEE">
            <w:pPr>
              <w:rPr>
                <w:b/>
                <w:bCs/>
                <w:sz w:val="28"/>
                <w:szCs w:val="28"/>
              </w:rPr>
            </w:pPr>
          </w:p>
        </w:tc>
      </w:tr>
      <w:tr w:rsidR="00197B69" w:rsidTr="00197B69">
        <w:tc>
          <w:tcPr>
            <w:tcW w:w="4621" w:type="dxa"/>
          </w:tcPr>
          <w:p w:rsidR="00197B69" w:rsidRPr="00197B69" w:rsidRDefault="00197B69" w:rsidP="00EE1CEE">
            <w:pPr>
              <w:rPr>
                <w:b/>
                <w:bCs/>
                <w:szCs w:val="28"/>
              </w:rPr>
            </w:pPr>
            <w:r w:rsidRPr="00197B69">
              <w:rPr>
                <w:b/>
                <w:bCs/>
                <w:szCs w:val="28"/>
              </w:rPr>
              <w:t>Signature of Lead General Practitioner Responsible for the Clinical Practice of named Practitioner</w:t>
            </w:r>
            <w:r>
              <w:rPr>
                <w:b/>
                <w:bCs/>
                <w:szCs w:val="28"/>
              </w:rPr>
              <w:t>. *</w:t>
            </w:r>
          </w:p>
        </w:tc>
        <w:tc>
          <w:tcPr>
            <w:tcW w:w="4621" w:type="dxa"/>
          </w:tcPr>
          <w:p w:rsidR="00197B69" w:rsidRDefault="00197B69" w:rsidP="00EE1CEE">
            <w:pPr>
              <w:rPr>
                <w:b/>
                <w:bCs/>
                <w:sz w:val="28"/>
                <w:szCs w:val="28"/>
              </w:rPr>
            </w:pPr>
          </w:p>
        </w:tc>
      </w:tr>
      <w:tr w:rsidR="00197B69" w:rsidTr="00197B69">
        <w:tc>
          <w:tcPr>
            <w:tcW w:w="4621" w:type="dxa"/>
          </w:tcPr>
          <w:p w:rsidR="00197B69" w:rsidRPr="00197B69" w:rsidRDefault="00197B69" w:rsidP="00EE1CEE">
            <w:pPr>
              <w:rPr>
                <w:b/>
                <w:bCs/>
                <w:szCs w:val="28"/>
              </w:rPr>
            </w:pPr>
            <w:r>
              <w:rPr>
                <w:b/>
                <w:bCs/>
                <w:szCs w:val="28"/>
              </w:rPr>
              <w:t>Signature of Ultrasound Services Manager/Ultrasound Site Lead/Consultant Sonographer (on behalf of the Medical Exposures Committee)</w:t>
            </w:r>
          </w:p>
        </w:tc>
        <w:tc>
          <w:tcPr>
            <w:tcW w:w="4621" w:type="dxa"/>
          </w:tcPr>
          <w:p w:rsidR="00197B69" w:rsidRDefault="00197B69" w:rsidP="00EE1CEE">
            <w:pPr>
              <w:rPr>
                <w:b/>
                <w:bCs/>
                <w:sz w:val="28"/>
                <w:szCs w:val="28"/>
              </w:rPr>
            </w:pPr>
          </w:p>
        </w:tc>
      </w:tr>
      <w:tr w:rsidR="00197B69" w:rsidTr="003D6728">
        <w:tc>
          <w:tcPr>
            <w:tcW w:w="9242" w:type="dxa"/>
            <w:gridSpan w:val="2"/>
          </w:tcPr>
          <w:p w:rsidR="00197B69" w:rsidRPr="00197B69" w:rsidRDefault="00197B69" w:rsidP="00197B69">
            <w:pPr>
              <w:pStyle w:val="ListParagraph"/>
              <w:ind w:left="0"/>
              <w:rPr>
                <w:b/>
                <w:bCs/>
                <w:szCs w:val="28"/>
                <w:u w:val="single"/>
              </w:rPr>
            </w:pPr>
            <w:r w:rsidRPr="00197B69">
              <w:rPr>
                <w:b/>
                <w:bCs/>
                <w:szCs w:val="28"/>
                <w:u w:val="single"/>
              </w:rPr>
              <w:t>General notes</w:t>
            </w:r>
          </w:p>
          <w:p w:rsidR="00197B69" w:rsidRPr="00197B69" w:rsidRDefault="00197B69" w:rsidP="00197B69">
            <w:pPr>
              <w:pStyle w:val="ListParagraph"/>
              <w:numPr>
                <w:ilvl w:val="0"/>
                <w:numId w:val="18"/>
              </w:numPr>
              <w:rPr>
                <w:bCs/>
                <w:sz w:val="20"/>
                <w:szCs w:val="28"/>
              </w:rPr>
            </w:pPr>
            <w:r w:rsidRPr="00197B69">
              <w:rPr>
                <w:bCs/>
                <w:sz w:val="20"/>
                <w:szCs w:val="28"/>
              </w:rPr>
              <w:t>The requirement to request ultrasound examinations should be discussed and agreed with the Lead Clinical for the Surgery</w:t>
            </w:r>
          </w:p>
          <w:p w:rsidR="00197B69" w:rsidRPr="00197B69" w:rsidRDefault="00197B69" w:rsidP="00197B69">
            <w:pPr>
              <w:pStyle w:val="ListParagraph"/>
              <w:numPr>
                <w:ilvl w:val="0"/>
                <w:numId w:val="18"/>
              </w:numPr>
              <w:rPr>
                <w:bCs/>
                <w:sz w:val="20"/>
                <w:szCs w:val="28"/>
              </w:rPr>
            </w:pPr>
            <w:r w:rsidRPr="00197B69">
              <w:rPr>
                <w:bCs/>
                <w:sz w:val="20"/>
                <w:szCs w:val="28"/>
              </w:rPr>
              <w:t>A list of ultrasound examinations required should be completed</w:t>
            </w:r>
          </w:p>
          <w:p w:rsidR="00197B69" w:rsidRPr="00197B69" w:rsidRDefault="00197B69" w:rsidP="00197B69">
            <w:pPr>
              <w:pStyle w:val="ListParagraph"/>
              <w:numPr>
                <w:ilvl w:val="0"/>
                <w:numId w:val="18"/>
              </w:numPr>
              <w:rPr>
                <w:bCs/>
                <w:sz w:val="20"/>
                <w:szCs w:val="28"/>
              </w:rPr>
            </w:pPr>
            <w:r w:rsidRPr="00197B69">
              <w:rPr>
                <w:bCs/>
                <w:sz w:val="20"/>
                <w:szCs w:val="28"/>
              </w:rPr>
              <w:t>Completed forms should sent to the Ultrasound Services Manager/Consultant Sonographer via Ultrasound Dept. Lincoln County Hospital or Site Lead for Ultrasound at Pilgrim Hospital Boston</w:t>
            </w:r>
          </w:p>
          <w:p w:rsidR="00197B69" w:rsidRPr="00197B69" w:rsidRDefault="00197B69" w:rsidP="00197B69">
            <w:pPr>
              <w:pStyle w:val="ListParagraph"/>
              <w:numPr>
                <w:ilvl w:val="0"/>
                <w:numId w:val="18"/>
              </w:numPr>
              <w:rPr>
                <w:bCs/>
                <w:szCs w:val="28"/>
              </w:rPr>
            </w:pPr>
            <w:r>
              <w:rPr>
                <w:bCs/>
                <w:sz w:val="20"/>
                <w:szCs w:val="28"/>
              </w:rPr>
              <w:t>A copy should be kept by the Non-Medical Advanced Nurse Practitioner and a second copy given to their line manager for storage in the HR file</w:t>
            </w:r>
          </w:p>
          <w:p w:rsidR="00197B69" w:rsidRPr="00197B69" w:rsidRDefault="00197B69" w:rsidP="00197B69">
            <w:pPr>
              <w:pStyle w:val="ListParagraph"/>
              <w:numPr>
                <w:ilvl w:val="0"/>
                <w:numId w:val="18"/>
              </w:numPr>
              <w:rPr>
                <w:bCs/>
                <w:szCs w:val="28"/>
              </w:rPr>
            </w:pPr>
            <w:r>
              <w:rPr>
                <w:bCs/>
                <w:sz w:val="20"/>
                <w:szCs w:val="28"/>
              </w:rPr>
              <w:t>It is the professional responsibility of the registered practitioners to ensure good clinical practice in the requesting of investigations</w:t>
            </w:r>
          </w:p>
          <w:p w:rsidR="00197B69" w:rsidRPr="00197B69" w:rsidRDefault="00197B69" w:rsidP="00197B69">
            <w:pPr>
              <w:pStyle w:val="ListParagraph"/>
              <w:numPr>
                <w:ilvl w:val="0"/>
                <w:numId w:val="18"/>
              </w:numPr>
              <w:rPr>
                <w:bCs/>
                <w:szCs w:val="28"/>
              </w:rPr>
            </w:pPr>
            <w:r>
              <w:rPr>
                <w:bCs/>
                <w:sz w:val="20"/>
                <w:szCs w:val="28"/>
              </w:rPr>
              <w:t>It is the responsibility of the practitioners line manager to ensure good clinical practice is maintained</w:t>
            </w:r>
          </w:p>
          <w:p w:rsidR="00197B69" w:rsidRPr="00197B69" w:rsidRDefault="00197B69" w:rsidP="00197B69">
            <w:pPr>
              <w:pStyle w:val="ListParagraph"/>
              <w:numPr>
                <w:ilvl w:val="0"/>
                <w:numId w:val="18"/>
              </w:numPr>
              <w:rPr>
                <w:bCs/>
                <w:szCs w:val="28"/>
              </w:rPr>
            </w:pPr>
            <w:r>
              <w:rPr>
                <w:bCs/>
                <w:sz w:val="20"/>
                <w:szCs w:val="28"/>
              </w:rPr>
              <w:t>It is the responsibility of the Medical Exposures Committee with the Ultrasound Dept. to ensure any audit required takes place.</w:t>
            </w:r>
          </w:p>
        </w:tc>
      </w:tr>
    </w:tbl>
    <w:p w:rsidR="0086702B" w:rsidRDefault="0086702B" w:rsidP="00EE1CEE">
      <w:pPr>
        <w:rPr>
          <w:b/>
          <w:bCs/>
          <w:sz w:val="28"/>
          <w:szCs w:val="28"/>
        </w:rPr>
      </w:pPr>
    </w:p>
    <w:p w:rsidR="00197B69" w:rsidRDefault="00197B69" w:rsidP="00197B69">
      <w:pPr>
        <w:rPr>
          <w:b/>
          <w:bCs/>
          <w:szCs w:val="28"/>
        </w:rPr>
      </w:pPr>
      <w:r>
        <w:rPr>
          <w:b/>
          <w:bCs/>
          <w:szCs w:val="28"/>
        </w:rPr>
        <w:t>*This confirms the job description is amended to reflect this practice, the practitioner is competent to meet the criteria of this policy and evidence of competence maintained and the surgeries agreement to support this practice</w:t>
      </w:r>
      <w:bookmarkStart w:id="17" w:name="_Toc360802741"/>
    </w:p>
    <w:p w:rsidR="00197B69" w:rsidRDefault="00197B69" w:rsidP="00197B69">
      <w:pPr>
        <w:rPr>
          <w:b/>
          <w:bCs/>
          <w:szCs w:val="28"/>
        </w:rPr>
      </w:pPr>
    </w:p>
    <w:p w:rsidR="00642854" w:rsidRPr="00197B69" w:rsidRDefault="00642854" w:rsidP="00197B69">
      <w:pPr>
        <w:rPr>
          <w:b/>
          <w:bCs/>
          <w:szCs w:val="28"/>
        </w:rPr>
      </w:pPr>
      <w:r>
        <w:rPr>
          <w:rFonts w:eastAsia="Times New Roman"/>
          <w:b/>
          <w:bCs/>
          <w:sz w:val="28"/>
          <w:szCs w:val="28"/>
        </w:rPr>
        <w:t>Equality Analysis: Initial Assessment Form</w:t>
      </w:r>
    </w:p>
    <w:p w:rsidR="00642854" w:rsidRDefault="00642854" w:rsidP="00642854">
      <w:pPr>
        <w:spacing w:before="120" w:after="120"/>
        <w:rPr>
          <w:rFonts w:eastAsia="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42854" w:rsidTr="00642854">
        <w:tc>
          <w:tcPr>
            <w:tcW w:w="9242"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i/>
                <w:szCs w:val="24"/>
              </w:rPr>
            </w:pPr>
            <w:r>
              <w:rPr>
                <w:b/>
                <w:szCs w:val="24"/>
              </w:rPr>
              <w:t xml:space="preserve">Title: </w:t>
            </w:r>
            <w:r>
              <w:rPr>
                <w:i/>
                <w:szCs w:val="24"/>
              </w:rPr>
              <w:t>of the function to which the Equality Analysis Initial Assessment applies</w:t>
            </w:r>
          </w:p>
        </w:tc>
      </w:tr>
      <w:tr w:rsidR="00642854" w:rsidTr="00642854">
        <w:tc>
          <w:tcPr>
            <w:tcW w:w="9242" w:type="dxa"/>
            <w:tcBorders>
              <w:top w:val="single" w:sz="4" w:space="0" w:color="auto"/>
              <w:left w:val="single" w:sz="4" w:space="0" w:color="auto"/>
              <w:bottom w:val="single" w:sz="4" w:space="0" w:color="auto"/>
              <w:right w:val="single" w:sz="4" w:space="0" w:color="auto"/>
            </w:tcBorders>
          </w:tcPr>
          <w:p w:rsidR="00642854" w:rsidRPr="00642854" w:rsidRDefault="00642854" w:rsidP="00284870">
            <w:pPr>
              <w:spacing w:before="120" w:after="120"/>
              <w:rPr>
                <w:b/>
                <w:szCs w:val="24"/>
              </w:rPr>
            </w:pPr>
            <w:r>
              <w:rPr>
                <w:b/>
                <w:szCs w:val="24"/>
              </w:rPr>
              <w:t xml:space="preserve">Policy for the Requesting of </w:t>
            </w:r>
            <w:r w:rsidR="00197B69">
              <w:rPr>
                <w:b/>
                <w:szCs w:val="24"/>
              </w:rPr>
              <w:t>Ultrasound Investigations by Non-Medical Advanced Practitioners in Primary Care</w:t>
            </w:r>
            <w:r w:rsidR="00284870">
              <w:rPr>
                <w:b/>
                <w:szCs w:val="24"/>
              </w:rPr>
              <w:t>/Community</w:t>
            </w:r>
          </w:p>
        </w:tc>
      </w:tr>
    </w:tbl>
    <w:p w:rsidR="00642854" w:rsidRDefault="00642854" w:rsidP="00642854">
      <w:pPr>
        <w:spacing w:before="120" w:after="12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46"/>
        <w:gridCol w:w="572"/>
        <w:gridCol w:w="2509"/>
        <w:gridCol w:w="610"/>
        <w:gridCol w:w="2471"/>
      </w:tblGrid>
      <w:tr w:rsidR="00642854" w:rsidTr="00642854">
        <w:tc>
          <w:tcPr>
            <w:tcW w:w="9242" w:type="dxa"/>
            <w:gridSpan w:val="6"/>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szCs w:val="24"/>
              </w:rPr>
            </w:pPr>
            <w:r>
              <w:rPr>
                <w:szCs w:val="24"/>
              </w:rPr>
              <w:t>Describe the function to which the Equality Analysis Initial Assessment applies:</w:t>
            </w:r>
          </w:p>
        </w:tc>
      </w:tr>
      <w:tr w:rsidR="00642854" w:rsidTr="00642854">
        <w:trPr>
          <w:trHeight w:val="923"/>
        </w:trPr>
        <w:tc>
          <w:tcPr>
            <w:tcW w:w="534" w:type="dxa"/>
            <w:tcBorders>
              <w:top w:val="single" w:sz="4" w:space="0" w:color="auto"/>
              <w:left w:val="single" w:sz="4" w:space="0" w:color="auto"/>
              <w:bottom w:val="single" w:sz="4" w:space="0" w:color="auto"/>
              <w:right w:val="nil"/>
            </w:tcBorders>
            <w:hideMark/>
          </w:tcPr>
          <w:p w:rsidR="00642854" w:rsidRDefault="00642854">
            <w:pPr>
              <w:spacing w:before="120" w:after="120"/>
              <w:rPr>
                <w:rFonts w:ascii="Wingdings" w:hAnsi="Wingdings"/>
                <w:sz w:val="26"/>
                <w:szCs w:val="26"/>
              </w:rPr>
            </w:pPr>
            <w:r>
              <w:rPr>
                <w:rFonts w:ascii="Calibri" w:hAnsi="Calibri"/>
                <w:sz w:val="26"/>
                <w:szCs w:val="26"/>
              </w:rPr>
              <w:t>√</w:t>
            </w:r>
          </w:p>
          <w:p w:rsidR="00642854" w:rsidRDefault="00642854">
            <w:pPr>
              <w:spacing w:before="120" w:after="120"/>
              <w:rPr>
                <w:rFonts w:ascii="Wingdings" w:hAnsi="Wingdings"/>
                <w:sz w:val="26"/>
                <w:szCs w:val="26"/>
              </w:rPr>
            </w:pPr>
            <w:r>
              <w:rPr>
                <w:rFonts w:ascii="Calibri" w:hAnsi="Calibri"/>
                <w:sz w:val="26"/>
                <w:szCs w:val="26"/>
              </w:rPr>
              <w:t>√</w:t>
            </w:r>
          </w:p>
          <w:p w:rsidR="00642854" w:rsidRDefault="00642854">
            <w:pPr>
              <w:spacing w:before="120" w:after="120"/>
              <w:rPr>
                <w:rFonts w:cs="Arial"/>
                <w:szCs w:val="24"/>
              </w:rPr>
            </w:pPr>
            <w:r>
              <w:rPr>
                <w:rFonts w:ascii="Wingdings" w:hAnsi="Wingdings"/>
                <w:sz w:val="26"/>
                <w:szCs w:val="26"/>
              </w:rPr>
              <w:t></w:t>
            </w:r>
          </w:p>
        </w:tc>
        <w:tc>
          <w:tcPr>
            <w:tcW w:w="2546" w:type="dxa"/>
            <w:tcBorders>
              <w:top w:val="single" w:sz="4" w:space="0" w:color="auto"/>
              <w:left w:val="nil"/>
              <w:bottom w:val="single" w:sz="4" w:space="0" w:color="auto"/>
              <w:right w:val="nil"/>
            </w:tcBorders>
            <w:hideMark/>
          </w:tcPr>
          <w:p w:rsidR="00642854" w:rsidRPr="003465D4" w:rsidRDefault="00642854">
            <w:pPr>
              <w:spacing w:before="120" w:after="120"/>
              <w:rPr>
                <w:rFonts w:cs="Arial"/>
                <w:szCs w:val="24"/>
              </w:rPr>
            </w:pPr>
            <w:r w:rsidRPr="003465D4">
              <w:rPr>
                <w:rFonts w:cs="Arial"/>
                <w:szCs w:val="24"/>
              </w:rPr>
              <w:t>Service delivery</w:t>
            </w:r>
          </w:p>
          <w:p w:rsidR="00642854" w:rsidRPr="003465D4" w:rsidRDefault="00642854">
            <w:pPr>
              <w:spacing w:before="120" w:after="120"/>
              <w:rPr>
                <w:rFonts w:cs="Arial"/>
                <w:szCs w:val="24"/>
              </w:rPr>
            </w:pPr>
            <w:r w:rsidRPr="003465D4">
              <w:rPr>
                <w:rFonts w:cs="Arial"/>
                <w:szCs w:val="24"/>
              </w:rPr>
              <w:t>Policy</w:t>
            </w:r>
          </w:p>
          <w:p w:rsidR="00642854" w:rsidRPr="003465D4" w:rsidRDefault="00642854">
            <w:pPr>
              <w:spacing w:before="120" w:after="120"/>
              <w:rPr>
                <w:rFonts w:cs="Arial"/>
                <w:szCs w:val="24"/>
              </w:rPr>
            </w:pPr>
            <w:r w:rsidRPr="003465D4">
              <w:rPr>
                <w:rFonts w:cs="Arial"/>
                <w:szCs w:val="24"/>
              </w:rPr>
              <w:t>Board paper</w:t>
            </w:r>
          </w:p>
        </w:tc>
        <w:tc>
          <w:tcPr>
            <w:tcW w:w="572" w:type="dxa"/>
            <w:tcBorders>
              <w:top w:val="single" w:sz="4" w:space="0" w:color="auto"/>
              <w:left w:val="nil"/>
              <w:bottom w:val="single" w:sz="4" w:space="0" w:color="auto"/>
              <w:right w:val="nil"/>
            </w:tcBorders>
            <w:hideMark/>
          </w:tcPr>
          <w:p w:rsidR="00642854" w:rsidRPr="003465D4" w:rsidRDefault="00642854">
            <w:pPr>
              <w:spacing w:before="120" w:after="120"/>
              <w:rPr>
                <w:rFonts w:ascii="Wingdings" w:hAnsi="Wingdings"/>
                <w:sz w:val="26"/>
                <w:szCs w:val="26"/>
              </w:rPr>
            </w:pPr>
            <w:r w:rsidRPr="003465D4">
              <w:rPr>
                <w:rFonts w:ascii="Calibri" w:hAnsi="Calibri"/>
                <w:sz w:val="26"/>
                <w:szCs w:val="26"/>
              </w:rPr>
              <w:t>√</w:t>
            </w:r>
          </w:p>
          <w:p w:rsidR="00642854" w:rsidRPr="003465D4" w:rsidRDefault="00642854">
            <w:pPr>
              <w:spacing w:before="120" w:after="120"/>
              <w:rPr>
                <w:rFonts w:ascii="Wingdings" w:hAnsi="Wingdings"/>
                <w:sz w:val="26"/>
                <w:szCs w:val="26"/>
              </w:rPr>
            </w:pPr>
            <w:r w:rsidRPr="003465D4">
              <w:rPr>
                <w:rFonts w:ascii="Wingdings" w:hAnsi="Wingdings"/>
                <w:sz w:val="26"/>
                <w:szCs w:val="26"/>
              </w:rPr>
              <w:t></w:t>
            </w:r>
          </w:p>
          <w:p w:rsidR="00642854" w:rsidRPr="003465D4" w:rsidRDefault="00642854">
            <w:pPr>
              <w:spacing w:before="120" w:after="120"/>
              <w:rPr>
                <w:rFonts w:cs="Arial"/>
                <w:szCs w:val="24"/>
              </w:rPr>
            </w:pPr>
            <w:r w:rsidRPr="003465D4">
              <w:rPr>
                <w:rFonts w:ascii="Wingdings" w:hAnsi="Wingdings"/>
                <w:sz w:val="26"/>
                <w:szCs w:val="26"/>
              </w:rPr>
              <w:t></w:t>
            </w:r>
          </w:p>
        </w:tc>
        <w:tc>
          <w:tcPr>
            <w:tcW w:w="2509" w:type="dxa"/>
            <w:tcBorders>
              <w:top w:val="single" w:sz="4" w:space="0" w:color="auto"/>
              <w:left w:val="nil"/>
              <w:bottom w:val="single" w:sz="4" w:space="0" w:color="auto"/>
              <w:right w:val="nil"/>
            </w:tcBorders>
            <w:hideMark/>
          </w:tcPr>
          <w:p w:rsidR="00642854" w:rsidRPr="003465D4" w:rsidRDefault="00642854">
            <w:pPr>
              <w:spacing w:before="120" w:after="120"/>
              <w:rPr>
                <w:rFonts w:cs="Arial"/>
                <w:szCs w:val="24"/>
              </w:rPr>
            </w:pPr>
            <w:r w:rsidRPr="003465D4">
              <w:rPr>
                <w:rFonts w:cs="Arial"/>
                <w:szCs w:val="24"/>
              </w:rPr>
              <w:t>Service improvement</w:t>
            </w:r>
          </w:p>
          <w:p w:rsidR="00642854" w:rsidRPr="003465D4" w:rsidRDefault="00642854">
            <w:pPr>
              <w:spacing w:before="120" w:after="120"/>
              <w:rPr>
                <w:rFonts w:cs="Arial"/>
                <w:szCs w:val="24"/>
              </w:rPr>
            </w:pPr>
            <w:r w:rsidRPr="003465D4">
              <w:rPr>
                <w:rFonts w:cs="Arial"/>
                <w:szCs w:val="24"/>
              </w:rPr>
              <w:t>Strategy</w:t>
            </w:r>
          </w:p>
          <w:p w:rsidR="00642854" w:rsidRPr="003465D4" w:rsidRDefault="00642854">
            <w:pPr>
              <w:spacing w:before="120" w:after="120"/>
              <w:rPr>
                <w:rFonts w:cs="Arial"/>
                <w:szCs w:val="24"/>
              </w:rPr>
            </w:pPr>
            <w:r w:rsidRPr="003465D4">
              <w:rPr>
                <w:rFonts w:cs="Arial"/>
                <w:szCs w:val="24"/>
              </w:rPr>
              <w:t>Committee / Forum paper</w:t>
            </w:r>
          </w:p>
        </w:tc>
        <w:tc>
          <w:tcPr>
            <w:tcW w:w="610" w:type="dxa"/>
            <w:tcBorders>
              <w:top w:val="single" w:sz="4" w:space="0" w:color="auto"/>
              <w:left w:val="nil"/>
              <w:bottom w:val="single" w:sz="4" w:space="0" w:color="auto"/>
              <w:right w:val="nil"/>
            </w:tcBorders>
            <w:hideMark/>
          </w:tcPr>
          <w:p w:rsidR="00642854" w:rsidRDefault="00642854">
            <w:pPr>
              <w:spacing w:before="120" w:after="120"/>
              <w:rPr>
                <w:rFonts w:ascii="Wingdings" w:hAnsi="Wingdings"/>
                <w:sz w:val="26"/>
                <w:szCs w:val="26"/>
              </w:rPr>
            </w:pPr>
            <w:r>
              <w:rPr>
                <w:rFonts w:ascii="Wingdings" w:hAnsi="Wingdings"/>
                <w:sz w:val="26"/>
                <w:szCs w:val="26"/>
              </w:rPr>
              <w:t></w:t>
            </w:r>
          </w:p>
          <w:p w:rsidR="00642854" w:rsidRDefault="00642854">
            <w:pPr>
              <w:spacing w:before="120" w:after="120"/>
              <w:rPr>
                <w:rFonts w:ascii="Wingdings" w:hAnsi="Wingdings"/>
                <w:sz w:val="26"/>
                <w:szCs w:val="26"/>
              </w:rPr>
            </w:pPr>
            <w:r>
              <w:rPr>
                <w:rFonts w:ascii="Wingdings" w:hAnsi="Wingdings"/>
                <w:sz w:val="26"/>
                <w:szCs w:val="26"/>
              </w:rPr>
              <w:t></w:t>
            </w:r>
          </w:p>
          <w:p w:rsidR="00642854" w:rsidRDefault="00642854">
            <w:pPr>
              <w:spacing w:before="120" w:after="120"/>
              <w:rPr>
                <w:rFonts w:cs="Arial"/>
                <w:szCs w:val="24"/>
              </w:rPr>
            </w:pPr>
            <w:r>
              <w:rPr>
                <w:rFonts w:ascii="Wingdings" w:hAnsi="Wingdings"/>
                <w:sz w:val="26"/>
                <w:szCs w:val="26"/>
              </w:rPr>
              <w:t></w:t>
            </w:r>
          </w:p>
        </w:tc>
        <w:tc>
          <w:tcPr>
            <w:tcW w:w="2471" w:type="dxa"/>
            <w:tcBorders>
              <w:top w:val="single" w:sz="4" w:space="0" w:color="auto"/>
              <w:left w:val="nil"/>
              <w:bottom w:val="single" w:sz="4" w:space="0" w:color="auto"/>
              <w:right w:val="single" w:sz="4" w:space="0" w:color="auto"/>
            </w:tcBorders>
            <w:hideMark/>
          </w:tcPr>
          <w:p w:rsidR="00642854" w:rsidRDefault="00642854">
            <w:pPr>
              <w:spacing w:before="120" w:after="120"/>
              <w:rPr>
                <w:rFonts w:cs="Arial"/>
                <w:szCs w:val="24"/>
              </w:rPr>
            </w:pPr>
            <w:r>
              <w:rPr>
                <w:rFonts w:cs="Arial"/>
                <w:szCs w:val="24"/>
              </w:rPr>
              <w:t>Service change</w:t>
            </w:r>
          </w:p>
          <w:p w:rsidR="00642854" w:rsidRDefault="00642854">
            <w:pPr>
              <w:spacing w:before="120" w:after="120"/>
              <w:rPr>
                <w:rFonts w:cs="Arial"/>
                <w:szCs w:val="24"/>
              </w:rPr>
            </w:pPr>
            <w:r>
              <w:rPr>
                <w:rFonts w:cs="Arial"/>
                <w:szCs w:val="24"/>
              </w:rPr>
              <w:t>Procedure/Guidance</w:t>
            </w:r>
          </w:p>
          <w:p w:rsidR="00642854" w:rsidRDefault="00642854">
            <w:pPr>
              <w:spacing w:before="120" w:after="120"/>
              <w:rPr>
                <w:rFonts w:cs="Arial"/>
                <w:szCs w:val="24"/>
              </w:rPr>
            </w:pPr>
            <w:r>
              <w:rPr>
                <w:rFonts w:cs="Arial"/>
                <w:szCs w:val="24"/>
              </w:rPr>
              <w:t>Business care</w:t>
            </w:r>
          </w:p>
        </w:tc>
      </w:tr>
      <w:tr w:rsidR="00642854" w:rsidTr="00642854">
        <w:trPr>
          <w:trHeight w:val="561"/>
        </w:trPr>
        <w:tc>
          <w:tcPr>
            <w:tcW w:w="9242" w:type="dxa"/>
            <w:gridSpan w:val="6"/>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rFonts w:ascii="Wingdings" w:hAnsi="Wingdings"/>
                <w:sz w:val="28"/>
                <w:szCs w:val="28"/>
              </w:rPr>
            </w:pPr>
            <w:r>
              <w:rPr>
                <w:rFonts w:ascii="Wingdings" w:hAnsi="Wingdings" w:cs="Arial"/>
                <w:sz w:val="28"/>
                <w:szCs w:val="28"/>
              </w:rPr>
              <w:t></w:t>
            </w:r>
            <w:r>
              <w:rPr>
                <w:rFonts w:cs="Arial"/>
                <w:szCs w:val="24"/>
              </w:rPr>
              <w:t xml:space="preserve">   Other (please specify) ……………………………………………………………</w:t>
            </w:r>
          </w:p>
        </w:tc>
      </w:tr>
    </w:tbl>
    <w:p w:rsidR="00642854" w:rsidRDefault="00642854" w:rsidP="00642854">
      <w:pPr>
        <w:spacing w:before="120" w:after="12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747"/>
      </w:tblGrid>
      <w:tr w:rsidR="00642854" w:rsidTr="00642854">
        <w:tc>
          <w:tcPr>
            <w:tcW w:w="5495"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szCs w:val="24"/>
              </w:rPr>
            </w:pPr>
            <w:r>
              <w:rPr>
                <w:szCs w:val="24"/>
              </w:rPr>
              <w:t>Is this assessment for a new or existing function?</w:t>
            </w:r>
          </w:p>
        </w:tc>
        <w:tc>
          <w:tcPr>
            <w:tcW w:w="3747"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b/>
                <w:bCs/>
                <w:szCs w:val="24"/>
              </w:rPr>
            </w:pPr>
            <w:r>
              <w:rPr>
                <w:b/>
                <w:bCs/>
                <w:szCs w:val="24"/>
              </w:rPr>
              <w:t>New</w:t>
            </w:r>
          </w:p>
        </w:tc>
      </w:tr>
      <w:tr w:rsidR="00642854" w:rsidTr="00642854">
        <w:tc>
          <w:tcPr>
            <w:tcW w:w="5495"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szCs w:val="24"/>
              </w:rPr>
            </w:pPr>
            <w:r>
              <w:rPr>
                <w:szCs w:val="24"/>
              </w:rPr>
              <w:t>Name and designation of function Lead professional:</w:t>
            </w:r>
          </w:p>
        </w:tc>
        <w:tc>
          <w:tcPr>
            <w:tcW w:w="3747"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b/>
                <w:bCs/>
                <w:szCs w:val="24"/>
              </w:rPr>
            </w:pPr>
            <w:r>
              <w:rPr>
                <w:b/>
                <w:bCs/>
                <w:szCs w:val="24"/>
              </w:rPr>
              <w:t>Catherine Kirkpatrick</w:t>
            </w:r>
          </w:p>
          <w:p w:rsidR="00642854" w:rsidRDefault="00642854">
            <w:pPr>
              <w:spacing w:before="120" w:after="120"/>
              <w:rPr>
                <w:b/>
                <w:bCs/>
                <w:szCs w:val="24"/>
              </w:rPr>
            </w:pPr>
            <w:r>
              <w:rPr>
                <w:b/>
                <w:bCs/>
                <w:szCs w:val="24"/>
              </w:rPr>
              <w:t xml:space="preserve">Consultant Sonographer </w:t>
            </w:r>
          </w:p>
        </w:tc>
      </w:tr>
      <w:tr w:rsidR="00642854" w:rsidTr="00642854">
        <w:tc>
          <w:tcPr>
            <w:tcW w:w="5495"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szCs w:val="24"/>
              </w:rPr>
            </w:pPr>
            <w:r>
              <w:rPr>
                <w:szCs w:val="24"/>
              </w:rPr>
              <w:t>Business Unit / Clinical Directorate:</w:t>
            </w:r>
          </w:p>
        </w:tc>
        <w:tc>
          <w:tcPr>
            <w:tcW w:w="3747"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b/>
                <w:bCs/>
                <w:szCs w:val="24"/>
              </w:rPr>
            </w:pPr>
            <w:r>
              <w:rPr>
                <w:b/>
                <w:bCs/>
                <w:szCs w:val="24"/>
              </w:rPr>
              <w:t xml:space="preserve">Clinical Support Services/Radiology </w:t>
            </w:r>
          </w:p>
        </w:tc>
      </w:tr>
    </w:tbl>
    <w:p w:rsidR="00642854" w:rsidRDefault="00642854" w:rsidP="00642854">
      <w:pPr>
        <w:spacing w:before="120" w:after="12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642854" w:rsidTr="00642854">
        <w:tc>
          <w:tcPr>
            <w:tcW w:w="9242" w:type="dxa"/>
            <w:gridSpan w:val="3"/>
            <w:tcBorders>
              <w:top w:val="single" w:sz="4" w:space="0" w:color="auto"/>
              <w:left w:val="single" w:sz="4" w:space="0" w:color="auto"/>
              <w:bottom w:val="single" w:sz="4" w:space="0" w:color="auto"/>
              <w:right w:val="single" w:sz="4" w:space="0" w:color="auto"/>
            </w:tcBorders>
          </w:tcPr>
          <w:p w:rsidR="00642854" w:rsidRDefault="00642854">
            <w:pPr>
              <w:spacing w:before="120" w:after="120"/>
              <w:rPr>
                <w:i/>
                <w:szCs w:val="24"/>
              </w:rPr>
            </w:pPr>
            <w:r>
              <w:rPr>
                <w:szCs w:val="24"/>
              </w:rPr>
              <w:t>What are the intended outcomes of this function? (</w:t>
            </w:r>
            <w:r>
              <w:rPr>
                <w:i/>
                <w:szCs w:val="24"/>
              </w:rPr>
              <w:t>Please include outline of function objectives and aims):</w:t>
            </w:r>
          </w:p>
          <w:p w:rsidR="00642854" w:rsidRDefault="00642854" w:rsidP="00642854">
            <w:pPr>
              <w:numPr>
                <w:ilvl w:val="0"/>
                <w:numId w:val="15"/>
              </w:numPr>
              <w:autoSpaceDE w:val="0"/>
              <w:autoSpaceDN w:val="0"/>
              <w:adjustRightInd w:val="0"/>
              <w:rPr>
                <w:rFonts w:cs="Arial"/>
                <w:color w:val="000000"/>
                <w:szCs w:val="24"/>
              </w:rPr>
            </w:pPr>
            <w:r>
              <w:t>This policy aims to ensure that patients remain at the centre of care by improving timely access to diagnostic procedures.</w:t>
            </w:r>
          </w:p>
          <w:p w:rsidR="00642854" w:rsidRDefault="00642854" w:rsidP="00642854">
            <w:pPr>
              <w:numPr>
                <w:ilvl w:val="0"/>
                <w:numId w:val="15"/>
              </w:numPr>
              <w:autoSpaceDE w:val="0"/>
              <w:autoSpaceDN w:val="0"/>
              <w:adjustRightInd w:val="0"/>
              <w:rPr>
                <w:rFonts w:cs="Arial"/>
                <w:color w:val="000000"/>
                <w:szCs w:val="24"/>
              </w:rPr>
            </w:pPr>
            <w:r>
              <w:t>The delivery of timely diagnosis is key to providing optimal patient centred care.</w:t>
            </w:r>
          </w:p>
          <w:p w:rsidR="00642854" w:rsidRPr="00642854" w:rsidRDefault="00642854" w:rsidP="00197B69">
            <w:pPr>
              <w:numPr>
                <w:ilvl w:val="0"/>
                <w:numId w:val="15"/>
              </w:numPr>
              <w:autoSpaceDE w:val="0"/>
              <w:autoSpaceDN w:val="0"/>
              <w:adjustRightInd w:val="0"/>
              <w:rPr>
                <w:rFonts w:cs="Arial"/>
                <w:color w:val="000000"/>
                <w:szCs w:val="24"/>
              </w:rPr>
            </w:pPr>
            <w:r>
              <w:t xml:space="preserve">To enable non-medical advanced </w:t>
            </w:r>
            <w:r w:rsidR="00197B69">
              <w:t xml:space="preserve">nurse </w:t>
            </w:r>
            <w:r>
              <w:t>practitioners</w:t>
            </w:r>
            <w:r w:rsidR="00197B69">
              <w:t xml:space="preserve"> in primary care</w:t>
            </w:r>
            <w:r>
              <w:t xml:space="preserve"> to request </w:t>
            </w:r>
            <w:r w:rsidR="00197B69">
              <w:t xml:space="preserve">ultrasound </w:t>
            </w:r>
            <w:r>
              <w:t xml:space="preserve"> investigations </w:t>
            </w:r>
          </w:p>
        </w:tc>
      </w:tr>
      <w:tr w:rsidR="00642854" w:rsidTr="00642854">
        <w:tc>
          <w:tcPr>
            <w:tcW w:w="9242" w:type="dxa"/>
            <w:gridSpan w:val="3"/>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szCs w:val="24"/>
              </w:rPr>
            </w:pPr>
            <w:r>
              <w:rPr>
                <w:szCs w:val="24"/>
              </w:rPr>
              <w:t>Who will be affected? Please describe in what manner they will be affected?</w:t>
            </w:r>
          </w:p>
        </w:tc>
      </w:tr>
      <w:tr w:rsidR="00642854" w:rsidTr="00642854">
        <w:tc>
          <w:tcPr>
            <w:tcW w:w="3080"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b/>
                <w:szCs w:val="24"/>
              </w:rPr>
            </w:pPr>
            <w:r>
              <w:rPr>
                <w:b/>
                <w:szCs w:val="24"/>
              </w:rPr>
              <w:t>Patients / Service Users:</w:t>
            </w:r>
          </w:p>
        </w:tc>
        <w:tc>
          <w:tcPr>
            <w:tcW w:w="3081"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b/>
                <w:szCs w:val="24"/>
              </w:rPr>
            </w:pPr>
            <w:r>
              <w:rPr>
                <w:b/>
                <w:szCs w:val="24"/>
              </w:rPr>
              <w:t>Staff:</w:t>
            </w:r>
          </w:p>
        </w:tc>
        <w:tc>
          <w:tcPr>
            <w:tcW w:w="3081"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b/>
                <w:szCs w:val="24"/>
              </w:rPr>
            </w:pPr>
            <w:r>
              <w:rPr>
                <w:b/>
                <w:szCs w:val="24"/>
              </w:rPr>
              <w:t>Wider Community:</w:t>
            </w:r>
          </w:p>
        </w:tc>
      </w:tr>
      <w:tr w:rsidR="00642854" w:rsidTr="00642854">
        <w:tc>
          <w:tcPr>
            <w:tcW w:w="3080" w:type="dxa"/>
            <w:tcBorders>
              <w:top w:val="single" w:sz="4" w:space="0" w:color="auto"/>
              <w:left w:val="single" w:sz="4" w:space="0" w:color="auto"/>
              <w:bottom w:val="single" w:sz="4" w:space="0" w:color="auto"/>
              <w:right w:val="single" w:sz="4" w:space="0" w:color="auto"/>
            </w:tcBorders>
          </w:tcPr>
          <w:p w:rsidR="00642854" w:rsidRDefault="00197B69">
            <w:pPr>
              <w:spacing w:before="120" w:after="120"/>
              <w:rPr>
                <w:szCs w:val="24"/>
              </w:rPr>
            </w:pPr>
            <w:r>
              <w:rPr>
                <w:szCs w:val="24"/>
              </w:rPr>
              <w:t xml:space="preserve">Primary Care Community Patients </w:t>
            </w:r>
          </w:p>
          <w:p w:rsidR="00642854" w:rsidRDefault="00642854">
            <w:pPr>
              <w:spacing w:before="120" w:after="120"/>
              <w:rPr>
                <w:szCs w:val="24"/>
              </w:rPr>
            </w:pPr>
          </w:p>
        </w:tc>
        <w:tc>
          <w:tcPr>
            <w:tcW w:w="3081" w:type="dxa"/>
            <w:tcBorders>
              <w:top w:val="single" w:sz="4" w:space="0" w:color="auto"/>
              <w:left w:val="single" w:sz="4" w:space="0" w:color="auto"/>
              <w:bottom w:val="single" w:sz="4" w:space="0" w:color="auto"/>
              <w:right w:val="single" w:sz="4" w:space="0" w:color="auto"/>
            </w:tcBorders>
          </w:tcPr>
          <w:p w:rsidR="00642854" w:rsidRPr="00197B69" w:rsidRDefault="00197B69">
            <w:pPr>
              <w:spacing w:before="120" w:after="120"/>
              <w:rPr>
                <w:rFonts w:cs="Arial"/>
                <w:color w:val="000000"/>
                <w:sz w:val="22"/>
                <w:szCs w:val="24"/>
              </w:rPr>
            </w:pPr>
            <w:r w:rsidRPr="00197B69">
              <w:rPr>
                <w:rFonts w:cs="Arial"/>
                <w:color w:val="000000"/>
                <w:sz w:val="22"/>
                <w:szCs w:val="24"/>
              </w:rPr>
              <w:t>Advanced Practitioners in primary Care</w:t>
            </w:r>
            <w:r w:rsidR="00DD015F">
              <w:rPr>
                <w:rFonts w:cs="Arial"/>
                <w:color w:val="000000"/>
                <w:sz w:val="22"/>
                <w:szCs w:val="24"/>
              </w:rPr>
              <w:t>/community</w:t>
            </w:r>
          </w:p>
          <w:p w:rsidR="00197B69" w:rsidRPr="00642854" w:rsidRDefault="00197B69">
            <w:pPr>
              <w:spacing w:before="120" w:after="120"/>
              <w:rPr>
                <w:rFonts w:cs="Arial"/>
                <w:color w:val="000000"/>
                <w:szCs w:val="24"/>
              </w:rPr>
            </w:pPr>
            <w:r w:rsidRPr="00197B69">
              <w:rPr>
                <w:rFonts w:cs="Arial"/>
                <w:color w:val="000000"/>
                <w:sz w:val="22"/>
                <w:szCs w:val="24"/>
              </w:rPr>
              <w:t>Ultrasound Department Staff</w:t>
            </w:r>
          </w:p>
        </w:tc>
        <w:tc>
          <w:tcPr>
            <w:tcW w:w="3081"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rPr>
                <w:szCs w:val="24"/>
              </w:rPr>
            </w:pPr>
          </w:p>
        </w:tc>
      </w:tr>
    </w:tbl>
    <w:p w:rsidR="00642854" w:rsidRDefault="00642854" w:rsidP="00642854">
      <w:pPr>
        <w:spacing w:before="120" w:after="12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092"/>
        <w:gridCol w:w="1151"/>
        <w:gridCol w:w="1164"/>
        <w:gridCol w:w="3994"/>
      </w:tblGrid>
      <w:tr w:rsidR="00642854" w:rsidTr="00642854">
        <w:tc>
          <w:tcPr>
            <w:tcW w:w="9242" w:type="dxa"/>
            <w:gridSpan w:val="5"/>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szCs w:val="24"/>
              </w:rPr>
            </w:pPr>
            <w:r>
              <w:rPr>
                <w:szCs w:val="24"/>
              </w:rPr>
              <w:t>What impact is the function expected to have on people identifying with any of the protected characteristics (below), as articulated in the Equality Act 2010? (Please tick as appropriate)</w:t>
            </w:r>
          </w:p>
        </w:tc>
      </w:tr>
      <w:tr w:rsidR="00642854" w:rsidTr="00642854">
        <w:tc>
          <w:tcPr>
            <w:tcW w:w="1848" w:type="dxa"/>
            <w:tcBorders>
              <w:top w:val="single" w:sz="4" w:space="0" w:color="auto"/>
              <w:left w:val="single" w:sz="4" w:space="0" w:color="auto"/>
              <w:bottom w:val="single" w:sz="4" w:space="0" w:color="auto"/>
              <w:right w:val="single" w:sz="4" w:space="0" w:color="auto"/>
            </w:tcBorders>
            <w:shd w:val="clear" w:color="auto" w:fill="D9D9D9"/>
          </w:tcPr>
          <w:p w:rsidR="00642854" w:rsidRDefault="00642854">
            <w:pPr>
              <w:spacing w:before="120" w:after="120"/>
              <w:rPr>
                <w:szCs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642854" w:rsidRDefault="00642854">
            <w:pPr>
              <w:spacing w:before="120" w:after="120"/>
              <w:jc w:val="center"/>
              <w:rPr>
                <w:szCs w:val="24"/>
              </w:rPr>
            </w:pPr>
            <w:r>
              <w:rPr>
                <w:szCs w:val="24"/>
              </w:rPr>
              <w:t>Positive</w:t>
            </w:r>
          </w:p>
          <w:p w:rsidR="00642854" w:rsidRDefault="00642854">
            <w:pPr>
              <w:spacing w:before="120" w:after="120"/>
              <w:jc w:val="center"/>
              <w:rPr>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642854" w:rsidRDefault="00642854">
            <w:pPr>
              <w:spacing w:before="120" w:after="120"/>
              <w:jc w:val="center"/>
              <w:rPr>
                <w:szCs w:val="24"/>
              </w:rPr>
            </w:pPr>
            <w:r>
              <w:rPr>
                <w:szCs w:val="24"/>
              </w:rPr>
              <w:t>Neutral</w:t>
            </w:r>
          </w:p>
          <w:p w:rsidR="00642854" w:rsidRDefault="00642854">
            <w:pPr>
              <w:spacing w:before="120" w:after="120"/>
              <w:jc w:val="center"/>
              <w:rPr>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642854" w:rsidRDefault="00642854">
            <w:pPr>
              <w:spacing w:before="120" w:after="120"/>
              <w:jc w:val="center"/>
              <w:rPr>
                <w:szCs w:val="24"/>
              </w:rPr>
            </w:pPr>
            <w:r>
              <w:rPr>
                <w:szCs w:val="24"/>
              </w:rPr>
              <w:t>Negative</w:t>
            </w:r>
          </w:p>
          <w:p w:rsidR="00642854" w:rsidRDefault="00642854">
            <w:pPr>
              <w:spacing w:before="120" w:after="120"/>
              <w:jc w:val="center"/>
              <w:rPr>
                <w:szCs w:val="24"/>
              </w:rPr>
            </w:pPr>
          </w:p>
        </w:tc>
        <w:tc>
          <w:tcPr>
            <w:tcW w:w="4145"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b/>
                <w:szCs w:val="24"/>
              </w:rPr>
            </w:pPr>
            <w:r>
              <w:rPr>
                <w:b/>
                <w:szCs w:val="24"/>
              </w:rPr>
              <w:t>Please state the reason for your response and the evidence used in your assessment.</w:t>
            </w:r>
          </w:p>
        </w:tc>
      </w:tr>
      <w:tr w:rsidR="00642854" w:rsidTr="00642854">
        <w:tc>
          <w:tcPr>
            <w:tcW w:w="1848"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rPr>
                <w:szCs w:val="24"/>
              </w:rPr>
            </w:pPr>
            <w:r>
              <w:rPr>
                <w:szCs w:val="24"/>
              </w:rPr>
              <w:t>Disability</w:t>
            </w:r>
          </w:p>
          <w:p w:rsidR="00642854" w:rsidRDefault="00642854">
            <w:pPr>
              <w:spacing w:before="120" w:after="120"/>
              <w:rPr>
                <w:szCs w:val="24"/>
              </w:rPr>
            </w:pPr>
          </w:p>
        </w:tc>
        <w:tc>
          <w:tcPr>
            <w:tcW w:w="1095"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jc w:val="center"/>
              <w:rPr>
                <w:szCs w:val="24"/>
              </w:rPr>
            </w:pPr>
          </w:p>
        </w:tc>
        <w:tc>
          <w:tcPr>
            <w:tcW w:w="1164"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jc w:val="center"/>
              <w:rPr>
                <w:szCs w:val="24"/>
              </w:rPr>
            </w:pPr>
            <w:r>
              <w:rPr>
                <w:szCs w:val="24"/>
              </w:rPr>
              <w:t>X</w:t>
            </w:r>
          </w:p>
        </w:tc>
        <w:tc>
          <w:tcPr>
            <w:tcW w:w="990"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jc w:val="center"/>
              <w:rPr>
                <w:szCs w:val="24"/>
              </w:rPr>
            </w:pPr>
          </w:p>
        </w:tc>
        <w:tc>
          <w:tcPr>
            <w:tcW w:w="4145" w:type="dxa"/>
            <w:tcBorders>
              <w:top w:val="single" w:sz="4" w:space="0" w:color="auto"/>
              <w:left w:val="single" w:sz="4" w:space="0" w:color="auto"/>
              <w:bottom w:val="single" w:sz="4" w:space="0" w:color="auto"/>
              <w:right w:val="single" w:sz="4" w:space="0" w:color="auto"/>
            </w:tcBorders>
          </w:tcPr>
          <w:p w:rsidR="00642854" w:rsidRPr="00642854" w:rsidRDefault="00642854" w:rsidP="00642854">
            <w:pPr>
              <w:rPr>
                <w:rFonts w:cs="Arial"/>
                <w:szCs w:val="24"/>
              </w:rPr>
            </w:pPr>
            <w:r w:rsidRPr="00642854">
              <w:rPr>
                <w:rFonts w:cs="Arial"/>
                <w:szCs w:val="24"/>
              </w:rPr>
              <w:t>No specific barriers foreseen. ULHT protocol and visions on dignity and care will be observed.</w:t>
            </w:r>
          </w:p>
        </w:tc>
      </w:tr>
      <w:tr w:rsidR="00642854" w:rsidTr="00642854">
        <w:tc>
          <w:tcPr>
            <w:tcW w:w="1848"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rPr>
                <w:szCs w:val="24"/>
              </w:rPr>
            </w:pPr>
            <w:r>
              <w:rPr>
                <w:szCs w:val="24"/>
              </w:rPr>
              <w:t>Sex</w:t>
            </w:r>
          </w:p>
          <w:p w:rsidR="00642854" w:rsidRDefault="00642854">
            <w:pPr>
              <w:spacing w:before="120" w:after="120"/>
              <w:rPr>
                <w:szCs w:val="24"/>
              </w:rPr>
            </w:pPr>
          </w:p>
        </w:tc>
        <w:tc>
          <w:tcPr>
            <w:tcW w:w="1095"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jc w:val="center"/>
              <w:rPr>
                <w:szCs w:val="24"/>
              </w:rPr>
            </w:pPr>
          </w:p>
        </w:tc>
        <w:tc>
          <w:tcPr>
            <w:tcW w:w="1164"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jc w:val="center"/>
              <w:rPr>
                <w:szCs w:val="24"/>
              </w:rPr>
            </w:pPr>
            <w:r>
              <w:rPr>
                <w:szCs w:val="24"/>
              </w:rPr>
              <w:t>X</w:t>
            </w:r>
          </w:p>
        </w:tc>
        <w:tc>
          <w:tcPr>
            <w:tcW w:w="990"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jc w:val="center"/>
              <w:rPr>
                <w:szCs w:val="24"/>
              </w:rPr>
            </w:pPr>
          </w:p>
        </w:tc>
        <w:tc>
          <w:tcPr>
            <w:tcW w:w="4145" w:type="dxa"/>
            <w:tcBorders>
              <w:top w:val="single" w:sz="4" w:space="0" w:color="auto"/>
              <w:left w:val="single" w:sz="4" w:space="0" w:color="auto"/>
              <w:bottom w:val="single" w:sz="4" w:space="0" w:color="auto"/>
              <w:right w:val="single" w:sz="4" w:space="0" w:color="auto"/>
            </w:tcBorders>
            <w:hideMark/>
          </w:tcPr>
          <w:p w:rsidR="00642854" w:rsidRPr="00642854" w:rsidRDefault="00642854">
            <w:pPr>
              <w:spacing w:before="120" w:after="120"/>
              <w:rPr>
                <w:rFonts w:cs="Arial"/>
                <w:color w:val="000000"/>
                <w:szCs w:val="24"/>
              </w:rPr>
            </w:pPr>
            <w:r w:rsidRPr="00642854">
              <w:rPr>
                <w:rFonts w:cs="Arial"/>
                <w:szCs w:val="24"/>
              </w:rPr>
              <w:t>No specific barriers foreseen. ULHT protocol and visions on dignity and care will be observed</w:t>
            </w:r>
          </w:p>
        </w:tc>
      </w:tr>
      <w:tr w:rsidR="00642854" w:rsidTr="00642854">
        <w:tc>
          <w:tcPr>
            <w:tcW w:w="1848"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rPr>
                <w:szCs w:val="24"/>
              </w:rPr>
            </w:pPr>
            <w:r>
              <w:rPr>
                <w:szCs w:val="24"/>
              </w:rPr>
              <w:t>Race</w:t>
            </w:r>
          </w:p>
          <w:p w:rsidR="00642854" w:rsidRDefault="00642854">
            <w:pPr>
              <w:spacing w:before="120" w:after="120"/>
              <w:rPr>
                <w:szCs w:val="24"/>
              </w:rPr>
            </w:pPr>
          </w:p>
        </w:tc>
        <w:tc>
          <w:tcPr>
            <w:tcW w:w="1095"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jc w:val="center"/>
              <w:rPr>
                <w:szCs w:val="24"/>
              </w:rPr>
            </w:pPr>
          </w:p>
        </w:tc>
        <w:tc>
          <w:tcPr>
            <w:tcW w:w="1164"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jc w:val="center"/>
              <w:rPr>
                <w:szCs w:val="24"/>
              </w:rPr>
            </w:pPr>
            <w:r>
              <w:rPr>
                <w:szCs w:val="24"/>
              </w:rPr>
              <w:t>X</w:t>
            </w:r>
          </w:p>
        </w:tc>
        <w:tc>
          <w:tcPr>
            <w:tcW w:w="990"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jc w:val="center"/>
              <w:rPr>
                <w:szCs w:val="24"/>
              </w:rPr>
            </w:pPr>
          </w:p>
        </w:tc>
        <w:tc>
          <w:tcPr>
            <w:tcW w:w="4145" w:type="dxa"/>
            <w:tcBorders>
              <w:top w:val="single" w:sz="4" w:space="0" w:color="auto"/>
              <w:left w:val="single" w:sz="4" w:space="0" w:color="auto"/>
              <w:bottom w:val="single" w:sz="4" w:space="0" w:color="auto"/>
              <w:right w:val="single" w:sz="4" w:space="0" w:color="auto"/>
            </w:tcBorders>
            <w:hideMark/>
          </w:tcPr>
          <w:p w:rsidR="00642854" w:rsidRPr="00642854" w:rsidRDefault="00642854">
            <w:pPr>
              <w:spacing w:before="120" w:after="120"/>
              <w:rPr>
                <w:rFonts w:cs="Arial"/>
                <w:color w:val="000000"/>
                <w:szCs w:val="24"/>
              </w:rPr>
            </w:pPr>
            <w:r w:rsidRPr="00642854">
              <w:rPr>
                <w:rFonts w:cs="Arial"/>
                <w:szCs w:val="24"/>
              </w:rPr>
              <w:t>No specific barriers foreseen. ULHT protocol and visions on dignity and care will be observed.</w:t>
            </w:r>
          </w:p>
        </w:tc>
      </w:tr>
      <w:tr w:rsidR="00642854" w:rsidTr="00642854">
        <w:tc>
          <w:tcPr>
            <w:tcW w:w="1848"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rPr>
                <w:szCs w:val="24"/>
              </w:rPr>
            </w:pPr>
            <w:r>
              <w:rPr>
                <w:szCs w:val="24"/>
              </w:rPr>
              <w:t>Age</w:t>
            </w:r>
          </w:p>
          <w:p w:rsidR="00642854" w:rsidRDefault="00642854">
            <w:pPr>
              <w:spacing w:before="120" w:after="120"/>
              <w:rPr>
                <w:szCs w:val="24"/>
              </w:rPr>
            </w:pPr>
          </w:p>
        </w:tc>
        <w:tc>
          <w:tcPr>
            <w:tcW w:w="1095"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jc w:val="center"/>
              <w:rPr>
                <w:szCs w:val="24"/>
              </w:rPr>
            </w:pPr>
          </w:p>
        </w:tc>
        <w:tc>
          <w:tcPr>
            <w:tcW w:w="1164"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jc w:val="center"/>
              <w:rPr>
                <w:szCs w:val="24"/>
              </w:rPr>
            </w:pPr>
            <w:r>
              <w:rPr>
                <w:szCs w:val="24"/>
              </w:rPr>
              <w:t>X</w:t>
            </w:r>
          </w:p>
        </w:tc>
        <w:tc>
          <w:tcPr>
            <w:tcW w:w="990"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jc w:val="center"/>
              <w:rPr>
                <w:szCs w:val="24"/>
              </w:rPr>
            </w:pPr>
          </w:p>
        </w:tc>
        <w:tc>
          <w:tcPr>
            <w:tcW w:w="4145" w:type="dxa"/>
            <w:tcBorders>
              <w:top w:val="single" w:sz="4" w:space="0" w:color="auto"/>
              <w:left w:val="single" w:sz="4" w:space="0" w:color="auto"/>
              <w:bottom w:val="single" w:sz="4" w:space="0" w:color="auto"/>
              <w:right w:val="single" w:sz="4" w:space="0" w:color="auto"/>
            </w:tcBorders>
          </w:tcPr>
          <w:p w:rsidR="00642854" w:rsidRPr="00642854" w:rsidRDefault="00197B69" w:rsidP="00197B69">
            <w:pPr>
              <w:tabs>
                <w:tab w:val="left" w:pos="423"/>
              </w:tabs>
              <w:kinsoku w:val="0"/>
              <w:overflowPunct w:val="0"/>
              <w:textAlignment w:val="baseline"/>
              <w:rPr>
                <w:rFonts w:eastAsia="Times New Roman" w:cs="Arial"/>
                <w:color w:val="000000"/>
                <w:kern w:val="24"/>
                <w:szCs w:val="24"/>
                <w:lang w:eastAsia="en-GB"/>
              </w:rPr>
            </w:pPr>
            <w:r>
              <w:rPr>
                <w:rFonts w:eastAsia="Times New Roman" w:cs="Arial"/>
                <w:color w:val="000000"/>
                <w:kern w:val="24"/>
                <w:szCs w:val="24"/>
                <w:lang w:eastAsia="en-GB"/>
              </w:rPr>
              <w:t>BMUS &amp; ULHT Ultrasound referral Guidance will be used in con-junction with IR(ME)R (2017</w:t>
            </w:r>
            <w:r w:rsidR="00642854" w:rsidRPr="00642854">
              <w:rPr>
                <w:rFonts w:eastAsia="Times New Roman" w:cs="Arial"/>
                <w:color w:val="000000"/>
                <w:kern w:val="24"/>
                <w:szCs w:val="24"/>
                <w:lang w:eastAsia="en-GB"/>
              </w:rPr>
              <w:t xml:space="preserve">) Ionising Radiation (Medical Exposure) Regulations </w:t>
            </w:r>
          </w:p>
        </w:tc>
      </w:tr>
      <w:tr w:rsidR="00642854" w:rsidTr="00642854">
        <w:tc>
          <w:tcPr>
            <w:tcW w:w="1848"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szCs w:val="24"/>
              </w:rPr>
            </w:pPr>
            <w:r>
              <w:rPr>
                <w:szCs w:val="24"/>
              </w:rPr>
              <w:t>Gender Reassignment</w:t>
            </w:r>
          </w:p>
        </w:tc>
        <w:tc>
          <w:tcPr>
            <w:tcW w:w="1095"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jc w:val="center"/>
              <w:rPr>
                <w:szCs w:val="24"/>
              </w:rPr>
            </w:pPr>
          </w:p>
        </w:tc>
        <w:tc>
          <w:tcPr>
            <w:tcW w:w="1164"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jc w:val="center"/>
              <w:rPr>
                <w:szCs w:val="24"/>
              </w:rPr>
            </w:pPr>
            <w:r>
              <w:rPr>
                <w:szCs w:val="24"/>
              </w:rPr>
              <w:t>X</w:t>
            </w:r>
          </w:p>
        </w:tc>
        <w:tc>
          <w:tcPr>
            <w:tcW w:w="990"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jc w:val="center"/>
              <w:rPr>
                <w:szCs w:val="24"/>
              </w:rPr>
            </w:pPr>
          </w:p>
        </w:tc>
        <w:tc>
          <w:tcPr>
            <w:tcW w:w="4145" w:type="dxa"/>
            <w:tcBorders>
              <w:top w:val="single" w:sz="4" w:space="0" w:color="auto"/>
              <w:left w:val="single" w:sz="4" w:space="0" w:color="auto"/>
              <w:bottom w:val="single" w:sz="4" w:space="0" w:color="auto"/>
              <w:right w:val="single" w:sz="4" w:space="0" w:color="auto"/>
            </w:tcBorders>
          </w:tcPr>
          <w:p w:rsidR="00642854" w:rsidRPr="00642854" w:rsidRDefault="00642854" w:rsidP="00642854">
            <w:pPr>
              <w:rPr>
                <w:rFonts w:cs="Arial"/>
                <w:szCs w:val="24"/>
              </w:rPr>
            </w:pPr>
            <w:r w:rsidRPr="00642854">
              <w:rPr>
                <w:rFonts w:cs="Arial"/>
                <w:szCs w:val="24"/>
              </w:rPr>
              <w:t>No specific barriers foreseen – ULHT protocol and visions on dignity and care will be observed.</w:t>
            </w:r>
          </w:p>
        </w:tc>
      </w:tr>
      <w:tr w:rsidR="00642854" w:rsidTr="00642854">
        <w:tc>
          <w:tcPr>
            <w:tcW w:w="1848"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szCs w:val="24"/>
              </w:rPr>
            </w:pPr>
            <w:r>
              <w:rPr>
                <w:szCs w:val="24"/>
              </w:rPr>
              <w:t>Sexual Orientation</w:t>
            </w:r>
          </w:p>
        </w:tc>
        <w:tc>
          <w:tcPr>
            <w:tcW w:w="1095"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jc w:val="center"/>
              <w:rPr>
                <w:szCs w:val="24"/>
              </w:rPr>
            </w:pPr>
          </w:p>
        </w:tc>
        <w:tc>
          <w:tcPr>
            <w:tcW w:w="1164"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jc w:val="center"/>
              <w:rPr>
                <w:szCs w:val="24"/>
              </w:rPr>
            </w:pPr>
            <w:r>
              <w:rPr>
                <w:szCs w:val="24"/>
              </w:rPr>
              <w:t>X</w:t>
            </w:r>
          </w:p>
        </w:tc>
        <w:tc>
          <w:tcPr>
            <w:tcW w:w="990"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jc w:val="center"/>
              <w:rPr>
                <w:szCs w:val="24"/>
              </w:rPr>
            </w:pPr>
          </w:p>
        </w:tc>
        <w:tc>
          <w:tcPr>
            <w:tcW w:w="4145" w:type="dxa"/>
            <w:tcBorders>
              <w:top w:val="single" w:sz="4" w:space="0" w:color="auto"/>
              <w:left w:val="single" w:sz="4" w:space="0" w:color="auto"/>
              <w:bottom w:val="single" w:sz="4" w:space="0" w:color="auto"/>
              <w:right w:val="single" w:sz="4" w:space="0" w:color="auto"/>
            </w:tcBorders>
          </w:tcPr>
          <w:p w:rsidR="00642854" w:rsidRPr="00642854" w:rsidRDefault="00642854" w:rsidP="00642854">
            <w:pPr>
              <w:rPr>
                <w:rFonts w:cs="Arial"/>
                <w:szCs w:val="24"/>
              </w:rPr>
            </w:pPr>
            <w:r w:rsidRPr="00642854">
              <w:rPr>
                <w:rFonts w:cs="Arial"/>
                <w:szCs w:val="24"/>
              </w:rPr>
              <w:t>No specific barriers foreseen – ULHT protocol and visions on dignity and care will be observed.</w:t>
            </w:r>
          </w:p>
        </w:tc>
      </w:tr>
      <w:tr w:rsidR="00642854" w:rsidTr="00642854">
        <w:tc>
          <w:tcPr>
            <w:tcW w:w="1848"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szCs w:val="24"/>
              </w:rPr>
            </w:pPr>
            <w:r>
              <w:rPr>
                <w:szCs w:val="24"/>
              </w:rPr>
              <w:t>Religion or Belief</w:t>
            </w:r>
          </w:p>
        </w:tc>
        <w:tc>
          <w:tcPr>
            <w:tcW w:w="1095"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jc w:val="center"/>
              <w:rPr>
                <w:szCs w:val="24"/>
              </w:rPr>
            </w:pPr>
          </w:p>
        </w:tc>
        <w:tc>
          <w:tcPr>
            <w:tcW w:w="1164"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jc w:val="center"/>
              <w:rPr>
                <w:szCs w:val="24"/>
              </w:rPr>
            </w:pPr>
            <w:r>
              <w:rPr>
                <w:szCs w:val="24"/>
              </w:rPr>
              <w:t>X</w:t>
            </w:r>
          </w:p>
        </w:tc>
        <w:tc>
          <w:tcPr>
            <w:tcW w:w="990"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jc w:val="center"/>
              <w:rPr>
                <w:szCs w:val="24"/>
              </w:rPr>
            </w:pPr>
          </w:p>
        </w:tc>
        <w:tc>
          <w:tcPr>
            <w:tcW w:w="4145" w:type="dxa"/>
            <w:tcBorders>
              <w:top w:val="single" w:sz="4" w:space="0" w:color="auto"/>
              <w:left w:val="single" w:sz="4" w:space="0" w:color="auto"/>
              <w:bottom w:val="single" w:sz="4" w:space="0" w:color="auto"/>
              <w:right w:val="single" w:sz="4" w:space="0" w:color="auto"/>
            </w:tcBorders>
          </w:tcPr>
          <w:p w:rsidR="00642854" w:rsidRPr="00642854" w:rsidRDefault="00642854" w:rsidP="00642854">
            <w:pPr>
              <w:rPr>
                <w:rFonts w:cs="Arial"/>
                <w:szCs w:val="24"/>
              </w:rPr>
            </w:pPr>
            <w:r w:rsidRPr="00642854">
              <w:rPr>
                <w:rFonts w:cs="Arial"/>
                <w:szCs w:val="24"/>
              </w:rPr>
              <w:t>No specific barriers foreseen – ULHT protocol and visions on dignity and care will be observed.</w:t>
            </w:r>
          </w:p>
        </w:tc>
      </w:tr>
      <w:tr w:rsidR="00642854" w:rsidTr="00642854">
        <w:tc>
          <w:tcPr>
            <w:tcW w:w="1848"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szCs w:val="24"/>
              </w:rPr>
            </w:pPr>
            <w:r>
              <w:rPr>
                <w:szCs w:val="24"/>
              </w:rPr>
              <w:t>Pregnancy &amp; Maternity</w:t>
            </w:r>
          </w:p>
        </w:tc>
        <w:tc>
          <w:tcPr>
            <w:tcW w:w="1095"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jc w:val="center"/>
              <w:rPr>
                <w:szCs w:val="24"/>
              </w:rPr>
            </w:pPr>
          </w:p>
        </w:tc>
        <w:tc>
          <w:tcPr>
            <w:tcW w:w="1164"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jc w:val="center"/>
              <w:rPr>
                <w:szCs w:val="24"/>
              </w:rPr>
            </w:pPr>
            <w:r>
              <w:rPr>
                <w:szCs w:val="24"/>
              </w:rPr>
              <w:t>X</w:t>
            </w:r>
          </w:p>
        </w:tc>
        <w:tc>
          <w:tcPr>
            <w:tcW w:w="990"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rPr>
                <w:szCs w:val="24"/>
              </w:rPr>
            </w:pPr>
          </w:p>
        </w:tc>
        <w:tc>
          <w:tcPr>
            <w:tcW w:w="4145" w:type="dxa"/>
            <w:tcBorders>
              <w:top w:val="single" w:sz="4" w:space="0" w:color="auto"/>
              <w:left w:val="single" w:sz="4" w:space="0" w:color="auto"/>
              <w:bottom w:val="single" w:sz="4" w:space="0" w:color="auto"/>
              <w:right w:val="single" w:sz="4" w:space="0" w:color="auto"/>
            </w:tcBorders>
          </w:tcPr>
          <w:p w:rsidR="00642854" w:rsidRPr="00642854" w:rsidRDefault="00197B69" w:rsidP="00642854">
            <w:pPr>
              <w:rPr>
                <w:rFonts w:cs="Arial"/>
                <w:i/>
                <w:szCs w:val="24"/>
              </w:rPr>
            </w:pPr>
            <w:r>
              <w:rPr>
                <w:rFonts w:eastAsia="Times New Roman" w:cs="Arial"/>
                <w:color w:val="000000"/>
                <w:kern w:val="24"/>
                <w:szCs w:val="24"/>
                <w:lang w:eastAsia="en-GB"/>
              </w:rPr>
              <w:t>Safety recommendations for the safe use of ultrasound by EFSUMB and BMUS with be adhered to</w:t>
            </w:r>
          </w:p>
        </w:tc>
      </w:tr>
      <w:tr w:rsidR="00642854" w:rsidTr="00642854">
        <w:tc>
          <w:tcPr>
            <w:tcW w:w="1848"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szCs w:val="24"/>
              </w:rPr>
            </w:pPr>
            <w:r>
              <w:rPr>
                <w:szCs w:val="24"/>
              </w:rPr>
              <w:t>Marriage &amp; Civil Partnership</w:t>
            </w:r>
          </w:p>
        </w:tc>
        <w:tc>
          <w:tcPr>
            <w:tcW w:w="1095"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jc w:val="center"/>
              <w:rPr>
                <w:szCs w:val="24"/>
              </w:rPr>
            </w:pPr>
          </w:p>
        </w:tc>
        <w:tc>
          <w:tcPr>
            <w:tcW w:w="1164"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jc w:val="center"/>
              <w:rPr>
                <w:szCs w:val="24"/>
              </w:rPr>
            </w:pPr>
            <w:r>
              <w:rPr>
                <w:szCs w:val="24"/>
              </w:rPr>
              <w:t>X</w:t>
            </w:r>
          </w:p>
        </w:tc>
        <w:tc>
          <w:tcPr>
            <w:tcW w:w="990"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jc w:val="center"/>
              <w:rPr>
                <w:szCs w:val="24"/>
              </w:rPr>
            </w:pPr>
          </w:p>
        </w:tc>
        <w:tc>
          <w:tcPr>
            <w:tcW w:w="4145" w:type="dxa"/>
            <w:tcBorders>
              <w:top w:val="single" w:sz="4" w:space="0" w:color="auto"/>
              <w:left w:val="single" w:sz="4" w:space="0" w:color="auto"/>
              <w:bottom w:val="single" w:sz="4" w:space="0" w:color="auto"/>
              <w:right w:val="single" w:sz="4" w:space="0" w:color="auto"/>
            </w:tcBorders>
          </w:tcPr>
          <w:p w:rsidR="00642854" w:rsidRPr="00642854" w:rsidRDefault="00642854" w:rsidP="00642854">
            <w:pPr>
              <w:rPr>
                <w:rFonts w:cs="Arial"/>
                <w:szCs w:val="24"/>
              </w:rPr>
            </w:pPr>
            <w:r w:rsidRPr="00642854">
              <w:rPr>
                <w:rFonts w:cs="Arial"/>
                <w:szCs w:val="24"/>
              </w:rPr>
              <w:t>No specific barriers foreseen – ULHT protocol and visions on dignity and care will be observed.</w:t>
            </w:r>
          </w:p>
        </w:tc>
      </w:tr>
      <w:tr w:rsidR="00642854" w:rsidTr="00642854">
        <w:tc>
          <w:tcPr>
            <w:tcW w:w="9242" w:type="dxa"/>
            <w:gridSpan w:val="5"/>
            <w:tcBorders>
              <w:top w:val="single" w:sz="4" w:space="0" w:color="auto"/>
              <w:left w:val="single" w:sz="4" w:space="0" w:color="auto"/>
              <w:bottom w:val="single" w:sz="4" w:space="0" w:color="auto"/>
              <w:right w:val="single" w:sz="4" w:space="0" w:color="auto"/>
            </w:tcBorders>
            <w:shd w:val="clear" w:color="auto" w:fill="D9D9D9"/>
          </w:tcPr>
          <w:p w:rsidR="00642854" w:rsidRPr="00642854" w:rsidRDefault="00642854">
            <w:pPr>
              <w:spacing w:before="120" w:after="120"/>
              <w:jc w:val="center"/>
              <w:rPr>
                <w:szCs w:val="24"/>
              </w:rPr>
            </w:pPr>
          </w:p>
        </w:tc>
      </w:tr>
      <w:tr w:rsidR="00642854" w:rsidTr="00642854">
        <w:tc>
          <w:tcPr>
            <w:tcW w:w="1848"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rPr>
                <w:szCs w:val="24"/>
              </w:rPr>
            </w:pPr>
            <w:r>
              <w:rPr>
                <w:szCs w:val="24"/>
              </w:rPr>
              <w:t>Carers</w:t>
            </w:r>
          </w:p>
          <w:p w:rsidR="00642854" w:rsidRDefault="00642854">
            <w:pPr>
              <w:spacing w:before="120" w:after="120"/>
              <w:rPr>
                <w:szCs w:val="24"/>
              </w:rPr>
            </w:pPr>
          </w:p>
        </w:tc>
        <w:tc>
          <w:tcPr>
            <w:tcW w:w="1095"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jc w:val="center"/>
              <w:rPr>
                <w:szCs w:val="24"/>
              </w:rPr>
            </w:pPr>
          </w:p>
        </w:tc>
        <w:tc>
          <w:tcPr>
            <w:tcW w:w="1164"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jc w:val="center"/>
              <w:rPr>
                <w:szCs w:val="24"/>
              </w:rPr>
            </w:pPr>
            <w:r>
              <w:rPr>
                <w:szCs w:val="24"/>
              </w:rPr>
              <w:t>X</w:t>
            </w:r>
          </w:p>
        </w:tc>
        <w:tc>
          <w:tcPr>
            <w:tcW w:w="990"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jc w:val="center"/>
              <w:rPr>
                <w:szCs w:val="24"/>
              </w:rPr>
            </w:pPr>
          </w:p>
        </w:tc>
        <w:tc>
          <w:tcPr>
            <w:tcW w:w="4145" w:type="dxa"/>
            <w:tcBorders>
              <w:top w:val="single" w:sz="4" w:space="0" w:color="auto"/>
              <w:left w:val="single" w:sz="4" w:space="0" w:color="auto"/>
              <w:bottom w:val="single" w:sz="4" w:space="0" w:color="auto"/>
              <w:right w:val="single" w:sz="4" w:space="0" w:color="auto"/>
            </w:tcBorders>
          </w:tcPr>
          <w:p w:rsidR="00642854" w:rsidRPr="00642854" w:rsidRDefault="00642854" w:rsidP="00642854">
            <w:pPr>
              <w:rPr>
                <w:rFonts w:cs="Arial"/>
                <w:szCs w:val="24"/>
              </w:rPr>
            </w:pPr>
            <w:r w:rsidRPr="00642854">
              <w:rPr>
                <w:rFonts w:cs="Arial"/>
                <w:szCs w:val="24"/>
              </w:rPr>
              <w:t>No specific barriers foreseen – ULHT protocol and visions on dignity and care will be observed.</w:t>
            </w:r>
          </w:p>
        </w:tc>
      </w:tr>
      <w:tr w:rsidR="00642854" w:rsidTr="00642854">
        <w:tc>
          <w:tcPr>
            <w:tcW w:w="1848"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szCs w:val="24"/>
              </w:rPr>
            </w:pPr>
            <w:r>
              <w:rPr>
                <w:szCs w:val="24"/>
              </w:rPr>
              <w:t xml:space="preserve">Other groups identified </w:t>
            </w:r>
            <w:r>
              <w:rPr>
                <w:sz w:val="22"/>
              </w:rPr>
              <w:t>(please specify)</w:t>
            </w:r>
          </w:p>
        </w:tc>
        <w:tc>
          <w:tcPr>
            <w:tcW w:w="1095"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jc w:val="center"/>
              <w:rPr>
                <w:szCs w:val="24"/>
              </w:rPr>
            </w:pPr>
          </w:p>
        </w:tc>
        <w:tc>
          <w:tcPr>
            <w:tcW w:w="1164"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jc w:val="center"/>
              <w:rPr>
                <w:szCs w:val="24"/>
              </w:rPr>
            </w:pPr>
            <w:r>
              <w:rPr>
                <w:szCs w:val="24"/>
              </w:rPr>
              <w:t>X</w:t>
            </w:r>
          </w:p>
        </w:tc>
        <w:tc>
          <w:tcPr>
            <w:tcW w:w="990"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jc w:val="center"/>
              <w:rPr>
                <w:szCs w:val="24"/>
              </w:rPr>
            </w:pPr>
          </w:p>
        </w:tc>
        <w:tc>
          <w:tcPr>
            <w:tcW w:w="4145" w:type="dxa"/>
            <w:tcBorders>
              <w:top w:val="single" w:sz="4" w:space="0" w:color="auto"/>
              <w:left w:val="single" w:sz="4" w:space="0" w:color="auto"/>
              <w:bottom w:val="single" w:sz="4" w:space="0" w:color="auto"/>
              <w:right w:val="single" w:sz="4" w:space="0" w:color="auto"/>
            </w:tcBorders>
          </w:tcPr>
          <w:p w:rsidR="00642854" w:rsidRPr="00642854" w:rsidRDefault="00642854" w:rsidP="00642854">
            <w:pPr>
              <w:rPr>
                <w:rFonts w:cs="Arial"/>
                <w:szCs w:val="24"/>
              </w:rPr>
            </w:pPr>
            <w:r w:rsidRPr="00642854">
              <w:rPr>
                <w:rFonts w:cs="Arial"/>
                <w:szCs w:val="24"/>
              </w:rPr>
              <w:t>No specific barriers foreseen – ULHT protocol and visions on dignity and care will be observed.</w:t>
            </w:r>
          </w:p>
        </w:tc>
      </w:tr>
    </w:tbl>
    <w:p w:rsidR="00642854" w:rsidRDefault="00642854" w:rsidP="00642854">
      <w:pPr>
        <w:spacing w:before="120" w:after="120"/>
        <w:rPr>
          <w:b/>
          <w:sz w:val="16"/>
          <w:szCs w:val="16"/>
        </w:rPr>
      </w:pPr>
    </w:p>
    <w:p w:rsidR="00642854" w:rsidRDefault="00642854" w:rsidP="00642854">
      <w:pPr>
        <w:spacing w:before="120" w:after="120"/>
        <w:rPr>
          <w:szCs w:val="24"/>
        </w:rPr>
      </w:pPr>
      <w:r>
        <w:rPr>
          <w:b/>
          <w:szCs w:val="24"/>
        </w:rPr>
        <w:t xml:space="preserve">If the answer to the above question is a predicted negative impact for one or more of the protected characteristic groups, a full Equality Analysis must be completed. </w:t>
      </w:r>
      <w:r>
        <w:rPr>
          <w:szCs w:val="24"/>
        </w:rPr>
        <w:t>(The template is located on the Intranet)</w:t>
      </w:r>
    </w:p>
    <w:p w:rsidR="00642854" w:rsidRDefault="00642854" w:rsidP="00642854">
      <w:pPr>
        <w:spacing w:before="120" w:after="1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747"/>
      </w:tblGrid>
      <w:tr w:rsidR="00642854" w:rsidTr="00642854">
        <w:tc>
          <w:tcPr>
            <w:tcW w:w="5495"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szCs w:val="24"/>
              </w:rPr>
            </w:pPr>
            <w:r>
              <w:rPr>
                <w:szCs w:val="24"/>
              </w:rPr>
              <w:t>Name of person/s who carried out the Equality Analysis Initial Assessment:</w:t>
            </w:r>
          </w:p>
        </w:tc>
        <w:tc>
          <w:tcPr>
            <w:tcW w:w="3747"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b/>
                <w:bCs/>
                <w:szCs w:val="24"/>
              </w:rPr>
            </w:pPr>
            <w:r>
              <w:rPr>
                <w:b/>
                <w:bCs/>
                <w:szCs w:val="24"/>
              </w:rPr>
              <w:t>Catherine Kirkpatrick</w:t>
            </w:r>
          </w:p>
        </w:tc>
      </w:tr>
      <w:tr w:rsidR="00642854" w:rsidTr="00642854">
        <w:tc>
          <w:tcPr>
            <w:tcW w:w="5495"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szCs w:val="24"/>
              </w:rPr>
            </w:pPr>
            <w:r>
              <w:rPr>
                <w:szCs w:val="24"/>
              </w:rPr>
              <w:t>Date assessment completed:</w:t>
            </w:r>
          </w:p>
        </w:tc>
        <w:tc>
          <w:tcPr>
            <w:tcW w:w="3747" w:type="dxa"/>
            <w:tcBorders>
              <w:top w:val="single" w:sz="4" w:space="0" w:color="auto"/>
              <w:left w:val="single" w:sz="4" w:space="0" w:color="auto"/>
              <w:bottom w:val="single" w:sz="4" w:space="0" w:color="auto"/>
              <w:right w:val="single" w:sz="4" w:space="0" w:color="auto"/>
            </w:tcBorders>
            <w:hideMark/>
          </w:tcPr>
          <w:p w:rsidR="00642854" w:rsidRDefault="00197B69" w:rsidP="00197B69">
            <w:pPr>
              <w:spacing w:before="120" w:after="120"/>
              <w:rPr>
                <w:b/>
                <w:bCs/>
                <w:szCs w:val="24"/>
              </w:rPr>
            </w:pPr>
            <w:r>
              <w:rPr>
                <w:b/>
                <w:bCs/>
                <w:szCs w:val="24"/>
              </w:rPr>
              <w:t>31.01.2018</w:t>
            </w:r>
          </w:p>
        </w:tc>
      </w:tr>
      <w:tr w:rsidR="00642854" w:rsidTr="00642854">
        <w:tc>
          <w:tcPr>
            <w:tcW w:w="5495"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szCs w:val="24"/>
              </w:rPr>
            </w:pPr>
            <w:r>
              <w:rPr>
                <w:szCs w:val="24"/>
              </w:rPr>
              <w:t>Name of function owner:</w:t>
            </w:r>
          </w:p>
        </w:tc>
        <w:tc>
          <w:tcPr>
            <w:tcW w:w="3747"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b/>
                <w:bCs/>
                <w:szCs w:val="24"/>
              </w:rPr>
            </w:pPr>
            <w:r>
              <w:rPr>
                <w:b/>
                <w:bCs/>
                <w:szCs w:val="24"/>
              </w:rPr>
              <w:t>Catherine Kirkpatrick</w:t>
            </w:r>
          </w:p>
        </w:tc>
      </w:tr>
      <w:tr w:rsidR="00642854" w:rsidTr="00642854">
        <w:tc>
          <w:tcPr>
            <w:tcW w:w="5495"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szCs w:val="24"/>
              </w:rPr>
            </w:pPr>
            <w:r>
              <w:rPr>
                <w:szCs w:val="24"/>
              </w:rPr>
              <w:t>Date assessment signed off by function owner:</w:t>
            </w:r>
          </w:p>
        </w:tc>
        <w:tc>
          <w:tcPr>
            <w:tcW w:w="3747"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b/>
                <w:bCs/>
                <w:szCs w:val="24"/>
              </w:rPr>
            </w:pPr>
          </w:p>
        </w:tc>
      </w:tr>
      <w:tr w:rsidR="00642854" w:rsidTr="00642854">
        <w:tc>
          <w:tcPr>
            <w:tcW w:w="5495" w:type="dxa"/>
            <w:tcBorders>
              <w:top w:val="single" w:sz="4" w:space="0" w:color="auto"/>
              <w:left w:val="single" w:sz="4" w:space="0" w:color="auto"/>
              <w:bottom w:val="single" w:sz="4" w:space="0" w:color="auto"/>
              <w:right w:val="single" w:sz="4" w:space="0" w:color="auto"/>
            </w:tcBorders>
            <w:hideMark/>
          </w:tcPr>
          <w:p w:rsidR="00642854" w:rsidRDefault="00642854">
            <w:pPr>
              <w:spacing w:before="120" w:after="120"/>
              <w:rPr>
                <w:szCs w:val="24"/>
              </w:rPr>
            </w:pPr>
            <w:r>
              <w:rPr>
                <w:szCs w:val="24"/>
              </w:rPr>
              <w:t>Proposed review date (please place in your diary)</w:t>
            </w:r>
          </w:p>
        </w:tc>
        <w:tc>
          <w:tcPr>
            <w:tcW w:w="3747" w:type="dxa"/>
            <w:tcBorders>
              <w:top w:val="single" w:sz="4" w:space="0" w:color="auto"/>
              <w:left w:val="single" w:sz="4" w:space="0" w:color="auto"/>
              <w:bottom w:val="single" w:sz="4" w:space="0" w:color="auto"/>
              <w:right w:val="single" w:sz="4" w:space="0" w:color="auto"/>
            </w:tcBorders>
          </w:tcPr>
          <w:p w:rsidR="00642854" w:rsidRDefault="00642854">
            <w:pPr>
              <w:spacing w:before="120" w:after="120"/>
              <w:rPr>
                <w:b/>
                <w:bCs/>
                <w:szCs w:val="24"/>
              </w:rPr>
            </w:pPr>
          </w:p>
        </w:tc>
      </w:tr>
    </w:tbl>
    <w:p w:rsidR="00642854" w:rsidRDefault="00642854" w:rsidP="00642854">
      <w:pPr>
        <w:spacing w:before="120" w:after="120"/>
        <w:rPr>
          <w:szCs w:val="24"/>
        </w:rPr>
      </w:pPr>
    </w:p>
    <w:p w:rsidR="00642854" w:rsidRDefault="00642854" w:rsidP="00642854">
      <w:pPr>
        <w:spacing w:before="120" w:after="120"/>
        <w:jc w:val="center"/>
        <w:rPr>
          <w:szCs w:val="24"/>
        </w:rPr>
      </w:pPr>
      <w:r>
        <w:rPr>
          <w:szCs w:val="24"/>
        </w:rPr>
        <w:t xml:space="preserve">As we have a duty to publicise the results of all Equality Analyses, please forward a copy of this completed document to </w:t>
      </w:r>
      <w:hyperlink r:id="rId9" w:history="1">
        <w:r>
          <w:rPr>
            <w:rStyle w:val="Hyperlink"/>
            <w:szCs w:val="24"/>
          </w:rPr>
          <w:t>tim.couchman@ulh.nhs.uk</w:t>
        </w:r>
      </w:hyperlink>
      <w:r>
        <w:rPr>
          <w:szCs w:val="24"/>
        </w:rPr>
        <w:t>.</w:t>
      </w:r>
    </w:p>
    <w:p w:rsidR="00642854" w:rsidRDefault="00642854" w:rsidP="00642854"/>
    <w:p w:rsidR="00DA4ED1" w:rsidRDefault="00DA4ED1" w:rsidP="00DA4ED1">
      <w:pPr>
        <w:rPr>
          <w:b/>
        </w:rPr>
      </w:pPr>
    </w:p>
    <w:p w:rsidR="00DA4ED1" w:rsidRDefault="00DA4ED1" w:rsidP="00DA4ED1">
      <w:pPr>
        <w:rPr>
          <w:b/>
        </w:rPr>
      </w:pPr>
    </w:p>
    <w:p w:rsidR="00DA4ED1" w:rsidRDefault="00DA4ED1" w:rsidP="00DA4ED1">
      <w:pPr>
        <w:rPr>
          <w:b/>
        </w:rPr>
      </w:pPr>
    </w:p>
    <w:p w:rsidR="00DA4ED1" w:rsidRDefault="00DA4ED1" w:rsidP="00DA4ED1">
      <w:pPr>
        <w:rPr>
          <w:b/>
        </w:rPr>
      </w:pPr>
    </w:p>
    <w:p w:rsidR="00DA4ED1" w:rsidRDefault="00DA4ED1" w:rsidP="00DA4ED1">
      <w:pPr>
        <w:rPr>
          <w:b/>
        </w:rPr>
      </w:pPr>
    </w:p>
    <w:p w:rsidR="00DA4ED1" w:rsidRDefault="00DA4ED1" w:rsidP="00DA4ED1">
      <w:pPr>
        <w:rPr>
          <w:b/>
        </w:rPr>
      </w:pPr>
    </w:p>
    <w:p w:rsidR="00DA4ED1" w:rsidRDefault="00DA4ED1" w:rsidP="00DA4ED1">
      <w:pPr>
        <w:rPr>
          <w:b/>
        </w:rPr>
      </w:pPr>
    </w:p>
    <w:p w:rsidR="00DA4ED1" w:rsidRDefault="00DA4ED1" w:rsidP="00DA4ED1">
      <w:pPr>
        <w:rPr>
          <w:b/>
        </w:rPr>
      </w:pPr>
    </w:p>
    <w:p w:rsidR="00DA4ED1" w:rsidRDefault="00DA4ED1" w:rsidP="00DA4ED1">
      <w:pPr>
        <w:rPr>
          <w:b/>
        </w:rPr>
      </w:pPr>
    </w:p>
    <w:p w:rsidR="00DA4ED1" w:rsidRDefault="00DA4ED1" w:rsidP="00DA4ED1">
      <w:pPr>
        <w:rPr>
          <w:b/>
        </w:rPr>
      </w:pPr>
    </w:p>
    <w:p w:rsidR="00DA4ED1" w:rsidRDefault="00DA4ED1" w:rsidP="00DA4ED1">
      <w:pPr>
        <w:rPr>
          <w:b/>
        </w:rPr>
      </w:pPr>
    </w:p>
    <w:p w:rsidR="00DA4ED1" w:rsidRDefault="00DA4ED1" w:rsidP="00EE1CEE">
      <w:pPr>
        <w:rPr>
          <w:b/>
          <w:bCs/>
          <w:sz w:val="28"/>
          <w:szCs w:val="28"/>
        </w:rPr>
      </w:pPr>
    </w:p>
    <w:p w:rsidR="00DA4ED1" w:rsidRDefault="00DA4ED1" w:rsidP="00EE1CEE">
      <w:pPr>
        <w:rPr>
          <w:b/>
          <w:bCs/>
          <w:sz w:val="28"/>
          <w:szCs w:val="28"/>
        </w:rPr>
      </w:pPr>
    </w:p>
    <w:p w:rsidR="00197B69" w:rsidRDefault="00197B69" w:rsidP="00EE1CEE">
      <w:pPr>
        <w:rPr>
          <w:b/>
          <w:bCs/>
          <w:sz w:val="28"/>
          <w:szCs w:val="28"/>
        </w:rPr>
      </w:pPr>
    </w:p>
    <w:p w:rsidR="00197B69" w:rsidRDefault="00197B69" w:rsidP="00EE1CEE">
      <w:pPr>
        <w:rPr>
          <w:b/>
          <w:bCs/>
          <w:sz w:val="28"/>
          <w:szCs w:val="28"/>
        </w:rPr>
      </w:pPr>
    </w:p>
    <w:p w:rsidR="00197B69" w:rsidRDefault="00197B69" w:rsidP="00EE1CEE">
      <w:pPr>
        <w:rPr>
          <w:b/>
          <w:bCs/>
          <w:sz w:val="28"/>
          <w:szCs w:val="28"/>
        </w:rPr>
      </w:pPr>
    </w:p>
    <w:p w:rsidR="00197B69" w:rsidRDefault="00197B69" w:rsidP="00EE1CEE">
      <w:pPr>
        <w:rPr>
          <w:b/>
          <w:bCs/>
          <w:sz w:val="28"/>
          <w:szCs w:val="28"/>
        </w:rPr>
      </w:pPr>
    </w:p>
    <w:p w:rsidR="00197B69" w:rsidRDefault="00197B69" w:rsidP="00EE1CEE">
      <w:pPr>
        <w:rPr>
          <w:b/>
          <w:bCs/>
          <w:sz w:val="28"/>
          <w:szCs w:val="28"/>
        </w:rPr>
      </w:pPr>
    </w:p>
    <w:p w:rsidR="00197B69" w:rsidRDefault="00197B69" w:rsidP="00EE1CEE">
      <w:pPr>
        <w:rPr>
          <w:b/>
          <w:bCs/>
          <w:sz w:val="28"/>
          <w:szCs w:val="28"/>
        </w:rPr>
      </w:pPr>
    </w:p>
    <w:p w:rsidR="00197B69" w:rsidRDefault="00197B69" w:rsidP="00EE1CEE">
      <w:pPr>
        <w:rPr>
          <w:b/>
          <w:bCs/>
          <w:sz w:val="28"/>
          <w:szCs w:val="28"/>
        </w:rPr>
      </w:pPr>
    </w:p>
    <w:p w:rsidR="00197B69" w:rsidRDefault="00197B69" w:rsidP="00EE1CEE">
      <w:pPr>
        <w:rPr>
          <w:b/>
          <w:bCs/>
          <w:sz w:val="28"/>
          <w:szCs w:val="28"/>
        </w:rPr>
      </w:pPr>
    </w:p>
    <w:p w:rsidR="00197B69" w:rsidRDefault="00197B69" w:rsidP="00EE1CEE">
      <w:pPr>
        <w:rPr>
          <w:b/>
          <w:bCs/>
          <w:sz w:val="28"/>
          <w:szCs w:val="28"/>
        </w:rPr>
      </w:pPr>
    </w:p>
    <w:p w:rsidR="00197B69" w:rsidRDefault="00197B69" w:rsidP="00EE1CEE">
      <w:pPr>
        <w:rPr>
          <w:b/>
          <w:bCs/>
          <w:sz w:val="28"/>
          <w:szCs w:val="28"/>
        </w:rPr>
      </w:pPr>
    </w:p>
    <w:p w:rsidR="00197B69" w:rsidRDefault="00197B69" w:rsidP="00EE1CEE">
      <w:pPr>
        <w:rPr>
          <w:b/>
          <w:bCs/>
          <w:sz w:val="28"/>
          <w:szCs w:val="28"/>
        </w:rPr>
      </w:pPr>
    </w:p>
    <w:p w:rsidR="00DA4ED1" w:rsidRDefault="00DA4ED1" w:rsidP="00EE1CEE">
      <w:pPr>
        <w:rPr>
          <w:b/>
          <w:bCs/>
          <w:sz w:val="28"/>
          <w:szCs w:val="28"/>
        </w:rPr>
      </w:pPr>
    </w:p>
    <w:p w:rsidR="00EE1CEE" w:rsidRPr="008C1121" w:rsidRDefault="00EE1CEE" w:rsidP="00EE1CEE">
      <w:pPr>
        <w:rPr>
          <w:b/>
          <w:bCs/>
          <w:i/>
          <w:sz w:val="28"/>
          <w:szCs w:val="28"/>
        </w:rPr>
      </w:pPr>
      <w:r w:rsidRPr="008C1121">
        <w:rPr>
          <w:b/>
          <w:bCs/>
          <w:sz w:val="28"/>
          <w:szCs w:val="28"/>
        </w:rPr>
        <w:t>Signature Sheet</w:t>
      </w:r>
      <w:bookmarkEnd w:id="17"/>
    </w:p>
    <w:p w:rsidR="008C1121" w:rsidRDefault="008C1121" w:rsidP="00EE1CEE">
      <w:bookmarkStart w:id="18" w:name="_Toc336954992"/>
      <w:bookmarkEnd w:id="18"/>
    </w:p>
    <w:p w:rsidR="00EE1CEE" w:rsidRDefault="00EE1CEE" w:rsidP="00EE1CEE">
      <w:r w:rsidRPr="00EE1CEE">
        <w:t>Names of people consulted about the document:</w:t>
      </w:r>
    </w:p>
    <w:p w:rsidR="008C1121" w:rsidRPr="00EE1CEE" w:rsidRDefault="008C1121" w:rsidP="00EE1CEE"/>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33"/>
        <w:gridCol w:w="5262"/>
        <w:gridCol w:w="2039"/>
      </w:tblGrid>
      <w:tr w:rsidR="00197B69" w:rsidRPr="00EE1CEE" w:rsidTr="00197B69">
        <w:trPr>
          <w:trHeight w:val="828"/>
        </w:trPr>
        <w:tc>
          <w:tcPr>
            <w:tcW w:w="0" w:type="auto"/>
          </w:tcPr>
          <w:p w:rsidR="00EE1CEE" w:rsidRPr="00EE1CEE" w:rsidRDefault="00EE1CEE" w:rsidP="00EE1CEE">
            <w:pPr>
              <w:rPr>
                <w:b/>
              </w:rPr>
            </w:pPr>
            <w:r w:rsidRPr="00EE1CEE">
              <w:rPr>
                <w:b/>
              </w:rPr>
              <w:t>Name</w:t>
            </w:r>
          </w:p>
        </w:tc>
        <w:tc>
          <w:tcPr>
            <w:tcW w:w="0" w:type="auto"/>
          </w:tcPr>
          <w:p w:rsidR="00EE1CEE" w:rsidRPr="00EE1CEE" w:rsidRDefault="00EE1CEE" w:rsidP="00EE1CEE">
            <w:pPr>
              <w:rPr>
                <w:b/>
              </w:rPr>
            </w:pPr>
            <w:r w:rsidRPr="00EE1CEE">
              <w:rPr>
                <w:b/>
              </w:rPr>
              <w:t>Job title</w:t>
            </w:r>
          </w:p>
        </w:tc>
        <w:tc>
          <w:tcPr>
            <w:tcW w:w="0" w:type="auto"/>
          </w:tcPr>
          <w:p w:rsidR="00EE1CEE" w:rsidRPr="00EE1CEE" w:rsidRDefault="00EE1CEE" w:rsidP="00EE1CEE">
            <w:pPr>
              <w:rPr>
                <w:b/>
              </w:rPr>
            </w:pPr>
            <w:r w:rsidRPr="00EE1CEE">
              <w:rPr>
                <w:b/>
              </w:rPr>
              <w:t>Department</w:t>
            </w:r>
          </w:p>
        </w:tc>
      </w:tr>
      <w:tr w:rsidR="00197B69" w:rsidRPr="00EE1CEE" w:rsidTr="00197B69">
        <w:trPr>
          <w:cantSplit/>
          <w:trHeight w:val="828"/>
        </w:trPr>
        <w:tc>
          <w:tcPr>
            <w:tcW w:w="0" w:type="auto"/>
          </w:tcPr>
          <w:p w:rsidR="00EE1CEE" w:rsidRPr="00EE1CEE" w:rsidRDefault="00197B69" w:rsidP="00EE1CEE">
            <w:r>
              <w:t>Catherine Kirkpatrick</w:t>
            </w:r>
          </w:p>
        </w:tc>
        <w:tc>
          <w:tcPr>
            <w:tcW w:w="0" w:type="auto"/>
          </w:tcPr>
          <w:p w:rsidR="00EE1CEE" w:rsidRPr="00EE1CEE" w:rsidRDefault="00197B69" w:rsidP="00EE1CEE">
            <w:r>
              <w:t>Consultant Sonographer</w:t>
            </w:r>
          </w:p>
        </w:tc>
        <w:tc>
          <w:tcPr>
            <w:tcW w:w="0" w:type="auto"/>
          </w:tcPr>
          <w:p w:rsidR="00EE1CEE" w:rsidRPr="00EE1CEE" w:rsidRDefault="00197B69" w:rsidP="00EE1CEE">
            <w:r>
              <w:t>Diagnostics</w:t>
            </w:r>
          </w:p>
        </w:tc>
      </w:tr>
      <w:tr w:rsidR="00197B69" w:rsidRPr="00EE1CEE" w:rsidTr="00197B69">
        <w:trPr>
          <w:cantSplit/>
          <w:trHeight w:val="828"/>
        </w:trPr>
        <w:tc>
          <w:tcPr>
            <w:tcW w:w="0" w:type="auto"/>
          </w:tcPr>
          <w:p w:rsidR="00EE1CEE" w:rsidRPr="00EE1CEE" w:rsidRDefault="00653C47" w:rsidP="00EE1CEE">
            <w:r>
              <w:t>Paul Clark</w:t>
            </w:r>
          </w:p>
        </w:tc>
        <w:tc>
          <w:tcPr>
            <w:tcW w:w="0" w:type="auto"/>
          </w:tcPr>
          <w:p w:rsidR="00EE1CEE" w:rsidRPr="00EE1CEE" w:rsidRDefault="00653C47" w:rsidP="00EE1CEE">
            <w:r>
              <w:t>Head of Radiography/RSM</w:t>
            </w:r>
          </w:p>
        </w:tc>
        <w:tc>
          <w:tcPr>
            <w:tcW w:w="0" w:type="auto"/>
          </w:tcPr>
          <w:p w:rsidR="00EE1CEE" w:rsidRPr="00EE1CEE" w:rsidRDefault="0017036E" w:rsidP="00EE1CEE">
            <w:r>
              <w:t>Diagnostics</w:t>
            </w:r>
          </w:p>
        </w:tc>
      </w:tr>
      <w:tr w:rsidR="00197B69" w:rsidRPr="00EE1CEE" w:rsidTr="00197B69">
        <w:trPr>
          <w:cantSplit/>
          <w:trHeight w:val="828"/>
        </w:trPr>
        <w:tc>
          <w:tcPr>
            <w:tcW w:w="0" w:type="auto"/>
          </w:tcPr>
          <w:p w:rsidR="00ED2AA3" w:rsidRDefault="00197B69" w:rsidP="00EE1CEE">
            <w:r>
              <w:t>Sarah Clapham</w:t>
            </w:r>
          </w:p>
        </w:tc>
        <w:tc>
          <w:tcPr>
            <w:tcW w:w="0" w:type="auto"/>
          </w:tcPr>
          <w:p w:rsidR="00ED2AA3" w:rsidRDefault="00197B69" w:rsidP="00EE1CEE">
            <w:r>
              <w:t>ULHT Ultrasound Services Manager</w:t>
            </w:r>
          </w:p>
          <w:p w:rsidR="00197B69" w:rsidRDefault="00197B69" w:rsidP="00EE1CEE"/>
        </w:tc>
        <w:tc>
          <w:tcPr>
            <w:tcW w:w="0" w:type="auto"/>
          </w:tcPr>
          <w:p w:rsidR="00ED2AA3" w:rsidRPr="00EE1CEE" w:rsidRDefault="00197B69" w:rsidP="00EE1CEE">
            <w:r>
              <w:t xml:space="preserve">Diagnostics </w:t>
            </w:r>
          </w:p>
        </w:tc>
      </w:tr>
      <w:tr w:rsidR="00197B69" w:rsidRPr="00EE1CEE" w:rsidTr="00197B69">
        <w:trPr>
          <w:cantSplit/>
          <w:trHeight w:val="828"/>
        </w:trPr>
        <w:tc>
          <w:tcPr>
            <w:tcW w:w="0" w:type="auto"/>
          </w:tcPr>
          <w:p w:rsidR="00ED2AA3" w:rsidRDefault="00197B69" w:rsidP="00EE1CEE">
            <w:r>
              <w:t>Angela Ashcroft</w:t>
            </w:r>
          </w:p>
        </w:tc>
        <w:tc>
          <w:tcPr>
            <w:tcW w:w="0" w:type="auto"/>
          </w:tcPr>
          <w:p w:rsidR="00ED2AA3" w:rsidRDefault="00197B69" w:rsidP="00197B69">
            <w:r>
              <w:t xml:space="preserve">Head of Commissioning </w:t>
            </w:r>
          </w:p>
        </w:tc>
        <w:tc>
          <w:tcPr>
            <w:tcW w:w="0" w:type="auto"/>
          </w:tcPr>
          <w:p w:rsidR="00ED2AA3" w:rsidRPr="00EE1CEE" w:rsidRDefault="00197B69" w:rsidP="00EE1CEE">
            <w:r>
              <w:t>Lincolnshire East CCG</w:t>
            </w:r>
          </w:p>
        </w:tc>
      </w:tr>
      <w:tr w:rsidR="00197B69" w:rsidRPr="00EE1CEE" w:rsidTr="00197B69">
        <w:trPr>
          <w:cantSplit/>
          <w:trHeight w:val="828"/>
        </w:trPr>
        <w:tc>
          <w:tcPr>
            <w:tcW w:w="0" w:type="auto"/>
          </w:tcPr>
          <w:p w:rsidR="00197B69" w:rsidRDefault="00197B69" w:rsidP="00EE1CEE">
            <w:r>
              <w:t xml:space="preserve">Julie Baddon </w:t>
            </w:r>
          </w:p>
        </w:tc>
        <w:tc>
          <w:tcPr>
            <w:tcW w:w="0" w:type="auto"/>
          </w:tcPr>
          <w:p w:rsidR="00197B69" w:rsidRDefault="00197B69" w:rsidP="00197B69">
            <w:r>
              <w:t>Chair of ULHT Medical Exposures Committee/Advanced Practice Radiographer</w:t>
            </w:r>
          </w:p>
        </w:tc>
        <w:tc>
          <w:tcPr>
            <w:tcW w:w="0" w:type="auto"/>
          </w:tcPr>
          <w:p w:rsidR="00197B69" w:rsidRDefault="00197B69" w:rsidP="00EE1CEE">
            <w:r>
              <w:t>Diagnostics</w:t>
            </w:r>
          </w:p>
        </w:tc>
      </w:tr>
      <w:tr w:rsidR="00197B69" w:rsidRPr="00EE1CEE" w:rsidTr="00197B69">
        <w:trPr>
          <w:cantSplit/>
          <w:trHeight w:val="828"/>
        </w:trPr>
        <w:tc>
          <w:tcPr>
            <w:tcW w:w="0" w:type="auto"/>
          </w:tcPr>
          <w:p w:rsidR="00197B69" w:rsidRDefault="00197B69" w:rsidP="00EE1CEE"/>
        </w:tc>
        <w:tc>
          <w:tcPr>
            <w:tcW w:w="0" w:type="auto"/>
          </w:tcPr>
          <w:p w:rsidR="00197B69" w:rsidRDefault="00197B69" w:rsidP="00197B69"/>
        </w:tc>
        <w:tc>
          <w:tcPr>
            <w:tcW w:w="0" w:type="auto"/>
          </w:tcPr>
          <w:p w:rsidR="00197B69" w:rsidRDefault="00197B69" w:rsidP="00EE1CEE"/>
        </w:tc>
      </w:tr>
    </w:tbl>
    <w:p w:rsidR="00EE1CEE" w:rsidRPr="00EE1CEE" w:rsidRDefault="00EE1CEE" w:rsidP="00EE1CEE"/>
    <w:tbl>
      <w:tblPr>
        <w:tblW w:w="916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21"/>
        <w:gridCol w:w="2648"/>
      </w:tblGrid>
      <w:tr w:rsidR="00EE1CEE" w:rsidRPr="00EE1CEE" w:rsidTr="00A710BA">
        <w:trPr>
          <w:cantSplit/>
          <w:trHeight w:val="560"/>
        </w:trPr>
        <w:tc>
          <w:tcPr>
            <w:tcW w:w="6521" w:type="dxa"/>
          </w:tcPr>
          <w:p w:rsidR="00EE1CEE" w:rsidRPr="00EE1CEE" w:rsidRDefault="00EE1CEE" w:rsidP="00EE1CEE">
            <w:r w:rsidRPr="00EE1CEE">
              <w:t>Names of committees required to approve the document:</w:t>
            </w:r>
          </w:p>
        </w:tc>
        <w:tc>
          <w:tcPr>
            <w:tcW w:w="2648" w:type="dxa"/>
          </w:tcPr>
          <w:p w:rsidR="00EE1CEE" w:rsidRPr="00EE1CEE" w:rsidRDefault="00EE1CEE" w:rsidP="00EE1CEE">
            <w:pPr>
              <w:rPr>
                <w:b/>
              </w:rPr>
            </w:pPr>
            <w:r w:rsidRPr="00EE1CEE">
              <w:rPr>
                <w:b/>
              </w:rPr>
              <w:t>Approved on</w:t>
            </w:r>
          </w:p>
        </w:tc>
      </w:tr>
      <w:tr w:rsidR="00EE1CEE" w:rsidRPr="00EE1CEE" w:rsidTr="001271BD">
        <w:trPr>
          <w:cantSplit/>
          <w:trHeight w:hRule="exact" w:val="711"/>
        </w:trPr>
        <w:tc>
          <w:tcPr>
            <w:tcW w:w="6521" w:type="dxa"/>
            <w:tcBorders>
              <w:top w:val="single" w:sz="6" w:space="0" w:color="auto"/>
              <w:left w:val="single" w:sz="6" w:space="0" w:color="auto"/>
              <w:bottom w:val="single" w:sz="6" w:space="0" w:color="auto"/>
              <w:right w:val="single" w:sz="6" w:space="0" w:color="auto"/>
            </w:tcBorders>
          </w:tcPr>
          <w:p w:rsidR="00EE1CEE" w:rsidRPr="00EE1CEE" w:rsidRDefault="00653C47" w:rsidP="008C1121">
            <w:r>
              <w:t>Medical Exposures Committee</w:t>
            </w:r>
          </w:p>
        </w:tc>
        <w:tc>
          <w:tcPr>
            <w:tcW w:w="2648" w:type="dxa"/>
            <w:tcBorders>
              <w:top w:val="single" w:sz="6" w:space="0" w:color="auto"/>
              <w:left w:val="single" w:sz="6" w:space="0" w:color="auto"/>
              <w:bottom w:val="single" w:sz="6" w:space="0" w:color="auto"/>
              <w:right w:val="single" w:sz="6" w:space="0" w:color="auto"/>
            </w:tcBorders>
          </w:tcPr>
          <w:p w:rsidR="00EE1CEE" w:rsidRPr="00EE1CEE" w:rsidRDefault="00EE1CEE" w:rsidP="00EE1CEE"/>
        </w:tc>
      </w:tr>
      <w:tr w:rsidR="00EE1CEE" w:rsidRPr="00EE1CEE" w:rsidTr="00A710BA">
        <w:trPr>
          <w:cantSplit/>
          <w:trHeight w:hRule="exact" w:val="510"/>
        </w:trPr>
        <w:tc>
          <w:tcPr>
            <w:tcW w:w="6521" w:type="dxa"/>
            <w:tcBorders>
              <w:top w:val="single" w:sz="6" w:space="0" w:color="auto"/>
              <w:left w:val="single" w:sz="6" w:space="0" w:color="auto"/>
              <w:bottom w:val="single" w:sz="6" w:space="0" w:color="auto"/>
              <w:right w:val="single" w:sz="6" w:space="0" w:color="auto"/>
            </w:tcBorders>
          </w:tcPr>
          <w:p w:rsidR="00EE1CEE" w:rsidRPr="00EE1CEE" w:rsidRDefault="00197B69" w:rsidP="00EE1CEE">
            <w:r>
              <w:t>Radiology Clinical Governance</w:t>
            </w:r>
          </w:p>
        </w:tc>
        <w:tc>
          <w:tcPr>
            <w:tcW w:w="2648" w:type="dxa"/>
            <w:tcBorders>
              <w:top w:val="single" w:sz="6" w:space="0" w:color="auto"/>
              <w:left w:val="single" w:sz="6" w:space="0" w:color="auto"/>
              <w:bottom w:val="single" w:sz="6" w:space="0" w:color="auto"/>
              <w:right w:val="single" w:sz="6" w:space="0" w:color="auto"/>
            </w:tcBorders>
          </w:tcPr>
          <w:p w:rsidR="00EE1CEE" w:rsidRPr="00EE1CEE" w:rsidRDefault="00EE1CEE" w:rsidP="00EE1CEE"/>
        </w:tc>
      </w:tr>
      <w:tr w:rsidR="00197B69" w:rsidRPr="00EE1CEE" w:rsidTr="00A710BA">
        <w:trPr>
          <w:cantSplit/>
          <w:trHeight w:hRule="exact" w:val="510"/>
        </w:trPr>
        <w:tc>
          <w:tcPr>
            <w:tcW w:w="6521" w:type="dxa"/>
            <w:tcBorders>
              <w:top w:val="single" w:sz="6" w:space="0" w:color="auto"/>
              <w:left w:val="single" w:sz="6" w:space="0" w:color="auto"/>
              <w:bottom w:val="single" w:sz="6" w:space="0" w:color="auto"/>
              <w:right w:val="single" w:sz="6" w:space="0" w:color="auto"/>
            </w:tcBorders>
          </w:tcPr>
          <w:p w:rsidR="00197B69" w:rsidRDefault="009636EF" w:rsidP="00EE1CEE">
            <w:r>
              <w:t>CESC</w:t>
            </w:r>
          </w:p>
        </w:tc>
        <w:tc>
          <w:tcPr>
            <w:tcW w:w="2648" w:type="dxa"/>
            <w:tcBorders>
              <w:top w:val="single" w:sz="6" w:space="0" w:color="auto"/>
              <w:left w:val="single" w:sz="6" w:space="0" w:color="auto"/>
              <w:bottom w:val="single" w:sz="6" w:space="0" w:color="auto"/>
              <w:right w:val="single" w:sz="6" w:space="0" w:color="auto"/>
            </w:tcBorders>
          </w:tcPr>
          <w:p w:rsidR="00197B69" w:rsidRPr="00EE1CEE" w:rsidRDefault="00197B69" w:rsidP="00EE1CEE"/>
        </w:tc>
      </w:tr>
    </w:tbl>
    <w:p w:rsidR="00CB7249" w:rsidRDefault="00CB7249" w:rsidP="00EE1CEE">
      <w:pPr>
        <w:rPr>
          <w:b/>
          <w:bCs/>
        </w:rPr>
      </w:pPr>
      <w:bookmarkStart w:id="19" w:name="_Toc360802742"/>
    </w:p>
    <w:p w:rsidR="00224710" w:rsidRDefault="00224710" w:rsidP="00EE1CEE">
      <w:pPr>
        <w:rPr>
          <w:b/>
          <w:bCs/>
        </w:rPr>
      </w:pPr>
    </w:p>
    <w:p w:rsidR="00224710" w:rsidRDefault="00224710" w:rsidP="00EE1CEE">
      <w:pPr>
        <w:rPr>
          <w:b/>
          <w:bCs/>
        </w:rPr>
      </w:pPr>
    </w:p>
    <w:p w:rsidR="00224710" w:rsidRDefault="00224710" w:rsidP="00EE1CEE">
      <w:pPr>
        <w:rPr>
          <w:b/>
          <w:bCs/>
        </w:rPr>
      </w:pPr>
    </w:p>
    <w:p w:rsidR="00224710" w:rsidRDefault="00224710" w:rsidP="00EE1CEE">
      <w:pPr>
        <w:rPr>
          <w:b/>
          <w:bCs/>
        </w:rPr>
      </w:pPr>
    </w:p>
    <w:p w:rsidR="00224710" w:rsidRDefault="00224710" w:rsidP="00EE1CEE">
      <w:pPr>
        <w:rPr>
          <w:b/>
          <w:bCs/>
        </w:rPr>
      </w:pPr>
    </w:p>
    <w:p w:rsidR="00224710" w:rsidRDefault="00224710" w:rsidP="00EE1CEE">
      <w:pPr>
        <w:rPr>
          <w:b/>
          <w:bCs/>
        </w:rPr>
      </w:pPr>
    </w:p>
    <w:p w:rsidR="00224710" w:rsidRDefault="00224710" w:rsidP="00EE1CEE">
      <w:pPr>
        <w:rPr>
          <w:b/>
          <w:bCs/>
        </w:rPr>
      </w:pPr>
    </w:p>
    <w:p w:rsidR="00224710" w:rsidRDefault="00224710" w:rsidP="00EE1CEE">
      <w:pPr>
        <w:rPr>
          <w:b/>
          <w:bCs/>
        </w:rPr>
      </w:pPr>
    </w:p>
    <w:p w:rsidR="00224710" w:rsidRDefault="00224710" w:rsidP="00EE1CEE">
      <w:pPr>
        <w:rPr>
          <w:b/>
          <w:bCs/>
        </w:rPr>
      </w:pPr>
    </w:p>
    <w:p w:rsidR="00224710" w:rsidRDefault="00224710" w:rsidP="00EE1CEE">
      <w:pPr>
        <w:rPr>
          <w:b/>
          <w:bCs/>
        </w:rPr>
      </w:pPr>
    </w:p>
    <w:p w:rsidR="00224710" w:rsidRDefault="00224710" w:rsidP="00EE1CEE">
      <w:pPr>
        <w:rPr>
          <w:b/>
          <w:bCs/>
        </w:rPr>
      </w:pPr>
    </w:p>
    <w:p w:rsidR="00224710" w:rsidRDefault="00224710" w:rsidP="00EE1CEE">
      <w:pPr>
        <w:rPr>
          <w:b/>
          <w:bCs/>
        </w:rPr>
      </w:pPr>
    </w:p>
    <w:p w:rsidR="00224710" w:rsidRDefault="00224710" w:rsidP="00EE1CEE">
      <w:pPr>
        <w:rPr>
          <w:b/>
          <w:bCs/>
        </w:rPr>
      </w:pPr>
    </w:p>
    <w:p w:rsidR="00224710" w:rsidRPr="002612E1" w:rsidRDefault="00224710" w:rsidP="00224710">
      <w:pPr>
        <w:rPr>
          <w:rFonts w:eastAsia="Times New Roman" w:cs="Arial"/>
          <w:b/>
          <w:szCs w:val="24"/>
          <w:lang w:eastAsia="en-GB"/>
        </w:rPr>
      </w:pPr>
      <w:r w:rsidRPr="002612E1">
        <w:rPr>
          <w:rFonts w:eastAsia="Times New Roman" w:cs="Arial"/>
          <w:b/>
          <w:szCs w:val="24"/>
          <w:lang w:eastAsia="en-GB"/>
        </w:rPr>
        <w:t>CESC MEMBER COMMENTS</w:t>
      </w:r>
    </w:p>
    <w:p w:rsidR="00224710" w:rsidRPr="002612E1" w:rsidRDefault="00224710" w:rsidP="00224710">
      <w:pPr>
        <w:rPr>
          <w:rFonts w:eastAsia="Times New Roman"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5873"/>
      </w:tblGrid>
      <w:tr w:rsidR="00224710" w:rsidRPr="002612E1" w:rsidTr="00C2133F">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224710" w:rsidRPr="002612E1" w:rsidRDefault="00224710" w:rsidP="00C2133F">
            <w:pPr>
              <w:rPr>
                <w:rFonts w:eastAsia="Times New Roman" w:cs="Arial"/>
                <w:b/>
                <w:sz w:val="22"/>
                <w:szCs w:val="24"/>
                <w:lang w:eastAsia="en-GB"/>
              </w:rPr>
            </w:pPr>
            <w:r w:rsidRPr="002612E1">
              <w:rPr>
                <w:rFonts w:eastAsia="Times New Roman" w:cs="Arial"/>
                <w:b/>
                <w:sz w:val="22"/>
                <w:szCs w:val="24"/>
                <w:lang w:eastAsia="en-GB"/>
              </w:rPr>
              <w:t>CESC Member Name</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24710" w:rsidRPr="002612E1" w:rsidRDefault="00224710" w:rsidP="00C2133F">
            <w:pPr>
              <w:rPr>
                <w:rFonts w:eastAsia="Times New Roman" w:cs="Arial"/>
                <w:b/>
                <w:sz w:val="22"/>
                <w:szCs w:val="24"/>
                <w:lang w:eastAsia="en-GB"/>
              </w:rPr>
            </w:pPr>
            <w:r w:rsidRPr="002612E1">
              <w:rPr>
                <w:rFonts w:eastAsia="Times New Roman" w:cs="Arial"/>
                <w:b/>
                <w:sz w:val="22"/>
                <w:szCs w:val="24"/>
                <w:lang w:eastAsia="en-GB"/>
              </w:rPr>
              <w:t>Date</w:t>
            </w:r>
          </w:p>
        </w:tc>
        <w:tc>
          <w:tcPr>
            <w:tcW w:w="5873" w:type="dxa"/>
            <w:tcBorders>
              <w:top w:val="single" w:sz="4" w:space="0" w:color="auto"/>
              <w:left w:val="single" w:sz="4" w:space="0" w:color="auto"/>
              <w:bottom w:val="single" w:sz="4" w:space="0" w:color="auto"/>
              <w:right w:val="single" w:sz="4" w:space="0" w:color="auto"/>
            </w:tcBorders>
            <w:shd w:val="clear" w:color="auto" w:fill="auto"/>
            <w:hideMark/>
          </w:tcPr>
          <w:p w:rsidR="00224710" w:rsidRPr="002612E1" w:rsidRDefault="00224710" w:rsidP="00C2133F">
            <w:pPr>
              <w:rPr>
                <w:rFonts w:eastAsia="Times New Roman" w:cs="Arial"/>
                <w:b/>
                <w:sz w:val="22"/>
                <w:szCs w:val="24"/>
                <w:lang w:eastAsia="en-GB"/>
              </w:rPr>
            </w:pPr>
            <w:r w:rsidRPr="002612E1">
              <w:rPr>
                <w:rFonts w:eastAsia="Times New Roman" w:cs="Arial"/>
                <w:b/>
                <w:sz w:val="22"/>
                <w:szCs w:val="24"/>
                <w:lang w:eastAsia="en-GB"/>
              </w:rPr>
              <w:t>Comment</w:t>
            </w:r>
          </w:p>
        </w:tc>
      </w:tr>
      <w:tr w:rsidR="00224710" w:rsidRPr="002612E1" w:rsidTr="00C2133F">
        <w:tc>
          <w:tcPr>
            <w:tcW w:w="1526" w:type="dxa"/>
            <w:tcBorders>
              <w:top w:val="single" w:sz="4" w:space="0" w:color="auto"/>
              <w:left w:val="single" w:sz="4" w:space="0" w:color="auto"/>
              <w:bottom w:val="single" w:sz="4" w:space="0" w:color="auto"/>
              <w:right w:val="single" w:sz="4" w:space="0" w:color="auto"/>
            </w:tcBorders>
            <w:shd w:val="clear" w:color="auto" w:fill="auto"/>
          </w:tcPr>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4710" w:rsidRPr="002612E1" w:rsidRDefault="00224710" w:rsidP="00C2133F">
            <w:pPr>
              <w:rPr>
                <w:rFonts w:ascii="Times New Roman" w:eastAsia="Times New Roman" w:hAnsi="Times New Roman"/>
                <w:sz w:val="22"/>
                <w:szCs w:val="24"/>
                <w:lang w:eastAsia="en-GB"/>
              </w:rPr>
            </w:pPr>
          </w:p>
        </w:tc>
        <w:tc>
          <w:tcPr>
            <w:tcW w:w="5873" w:type="dxa"/>
            <w:tcBorders>
              <w:top w:val="single" w:sz="4" w:space="0" w:color="auto"/>
              <w:left w:val="single" w:sz="4" w:space="0" w:color="auto"/>
              <w:bottom w:val="single" w:sz="4" w:space="0" w:color="auto"/>
              <w:right w:val="single" w:sz="4" w:space="0" w:color="auto"/>
            </w:tcBorders>
            <w:shd w:val="clear" w:color="auto" w:fill="auto"/>
          </w:tcPr>
          <w:p w:rsidR="00224710" w:rsidRPr="002612E1" w:rsidRDefault="00224710" w:rsidP="00C2133F">
            <w:pPr>
              <w:rPr>
                <w:rFonts w:ascii="Times New Roman" w:eastAsia="Times New Roman" w:hAnsi="Times New Roman"/>
                <w:sz w:val="22"/>
                <w:szCs w:val="24"/>
                <w:lang w:eastAsia="en-GB"/>
              </w:rPr>
            </w:pPr>
          </w:p>
        </w:tc>
      </w:tr>
      <w:tr w:rsidR="00224710" w:rsidRPr="002612E1" w:rsidTr="00C2133F">
        <w:tc>
          <w:tcPr>
            <w:tcW w:w="1526" w:type="dxa"/>
            <w:tcBorders>
              <w:top w:val="single" w:sz="4" w:space="0" w:color="auto"/>
              <w:left w:val="single" w:sz="4" w:space="0" w:color="auto"/>
              <w:bottom w:val="single" w:sz="4" w:space="0" w:color="auto"/>
              <w:right w:val="single" w:sz="4" w:space="0" w:color="auto"/>
            </w:tcBorders>
            <w:shd w:val="clear" w:color="auto" w:fill="auto"/>
          </w:tcPr>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4710" w:rsidRPr="002612E1" w:rsidRDefault="00224710" w:rsidP="00C2133F">
            <w:pPr>
              <w:rPr>
                <w:rFonts w:ascii="Times New Roman" w:eastAsia="Times New Roman" w:hAnsi="Times New Roman"/>
                <w:sz w:val="22"/>
                <w:szCs w:val="24"/>
                <w:lang w:eastAsia="en-GB"/>
              </w:rPr>
            </w:pPr>
          </w:p>
        </w:tc>
        <w:tc>
          <w:tcPr>
            <w:tcW w:w="5873" w:type="dxa"/>
            <w:tcBorders>
              <w:top w:val="single" w:sz="4" w:space="0" w:color="auto"/>
              <w:left w:val="single" w:sz="4" w:space="0" w:color="auto"/>
              <w:bottom w:val="single" w:sz="4" w:space="0" w:color="auto"/>
              <w:right w:val="single" w:sz="4" w:space="0" w:color="auto"/>
            </w:tcBorders>
            <w:shd w:val="clear" w:color="auto" w:fill="auto"/>
          </w:tcPr>
          <w:p w:rsidR="00224710" w:rsidRPr="002612E1" w:rsidRDefault="00224710" w:rsidP="00C2133F">
            <w:pPr>
              <w:rPr>
                <w:rFonts w:ascii="Times New Roman" w:eastAsia="Times New Roman" w:hAnsi="Times New Roman"/>
                <w:sz w:val="22"/>
                <w:szCs w:val="24"/>
                <w:lang w:eastAsia="en-GB"/>
              </w:rPr>
            </w:pPr>
          </w:p>
        </w:tc>
      </w:tr>
      <w:tr w:rsidR="00224710" w:rsidRPr="002612E1" w:rsidTr="00C2133F">
        <w:tc>
          <w:tcPr>
            <w:tcW w:w="1526" w:type="dxa"/>
            <w:tcBorders>
              <w:top w:val="single" w:sz="4" w:space="0" w:color="auto"/>
              <w:left w:val="single" w:sz="4" w:space="0" w:color="auto"/>
              <w:bottom w:val="single" w:sz="4" w:space="0" w:color="auto"/>
              <w:right w:val="single" w:sz="4" w:space="0" w:color="auto"/>
            </w:tcBorders>
            <w:shd w:val="clear" w:color="auto" w:fill="auto"/>
          </w:tcPr>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4710" w:rsidRPr="002612E1" w:rsidRDefault="00224710" w:rsidP="00C2133F">
            <w:pPr>
              <w:rPr>
                <w:rFonts w:ascii="Times New Roman" w:eastAsia="Times New Roman" w:hAnsi="Times New Roman"/>
                <w:sz w:val="22"/>
                <w:szCs w:val="24"/>
                <w:lang w:eastAsia="en-GB"/>
              </w:rPr>
            </w:pPr>
          </w:p>
        </w:tc>
        <w:tc>
          <w:tcPr>
            <w:tcW w:w="5873" w:type="dxa"/>
            <w:tcBorders>
              <w:top w:val="single" w:sz="4" w:space="0" w:color="auto"/>
              <w:left w:val="single" w:sz="4" w:space="0" w:color="auto"/>
              <w:bottom w:val="single" w:sz="4" w:space="0" w:color="auto"/>
              <w:right w:val="single" w:sz="4" w:space="0" w:color="auto"/>
            </w:tcBorders>
            <w:shd w:val="clear" w:color="auto" w:fill="auto"/>
          </w:tcPr>
          <w:p w:rsidR="00224710" w:rsidRPr="002612E1" w:rsidRDefault="00224710" w:rsidP="00C2133F">
            <w:pPr>
              <w:rPr>
                <w:rFonts w:ascii="Times New Roman" w:eastAsia="Times New Roman" w:hAnsi="Times New Roman"/>
                <w:sz w:val="22"/>
                <w:szCs w:val="24"/>
                <w:lang w:eastAsia="en-GB"/>
              </w:rPr>
            </w:pPr>
          </w:p>
        </w:tc>
      </w:tr>
      <w:tr w:rsidR="00224710" w:rsidRPr="002612E1" w:rsidTr="00C2133F">
        <w:tc>
          <w:tcPr>
            <w:tcW w:w="1526" w:type="dxa"/>
            <w:tcBorders>
              <w:top w:val="single" w:sz="4" w:space="0" w:color="auto"/>
              <w:left w:val="single" w:sz="4" w:space="0" w:color="auto"/>
              <w:bottom w:val="single" w:sz="4" w:space="0" w:color="auto"/>
              <w:right w:val="single" w:sz="4" w:space="0" w:color="auto"/>
            </w:tcBorders>
            <w:shd w:val="clear" w:color="auto" w:fill="auto"/>
          </w:tcPr>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p w:rsidR="00224710" w:rsidRPr="002612E1" w:rsidRDefault="00224710" w:rsidP="00C2133F">
            <w:pPr>
              <w:rPr>
                <w:rFonts w:ascii="Times New Roman" w:eastAsia="Times New Roman" w:hAnsi="Times New Roman"/>
                <w:sz w:val="22"/>
                <w:szCs w:val="24"/>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4710" w:rsidRPr="002612E1" w:rsidRDefault="00224710" w:rsidP="00C2133F">
            <w:pPr>
              <w:rPr>
                <w:rFonts w:ascii="Times New Roman" w:eastAsia="Times New Roman" w:hAnsi="Times New Roman"/>
                <w:sz w:val="22"/>
                <w:szCs w:val="24"/>
                <w:lang w:eastAsia="en-GB"/>
              </w:rPr>
            </w:pPr>
          </w:p>
        </w:tc>
        <w:tc>
          <w:tcPr>
            <w:tcW w:w="5873" w:type="dxa"/>
            <w:tcBorders>
              <w:top w:val="single" w:sz="4" w:space="0" w:color="auto"/>
              <w:left w:val="single" w:sz="4" w:space="0" w:color="auto"/>
              <w:bottom w:val="single" w:sz="4" w:space="0" w:color="auto"/>
              <w:right w:val="single" w:sz="4" w:space="0" w:color="auto"/>
            </w:tcBorders>
            <w:shd w:val="clear" w:color="auto" w:fill="auto"/>
          </w:tcPr>
          <w:p w:rsidR="00224710" w:rsidRPr="002612E1" w:rsidRDefault="00224710" w:rsidP="00C2133F">
            <w:pPr>
              <w:rPr>
                <w:rFonts w:ascii="Times New Roman" w:eastAsia="Times New Roman" w:hAnsi="Times New Roman"/>
                <w:sz w:val="22"/>
                <w:szCs w:val="24"/>
                <w:lang w:eastAsia="en-GB"/>
              </w:rPr>
            </w:pPr>
          </w:p>
        </w:tc>
      </w:tr>
    </w:tbl>
    <w:p w:rsidR="00224710" w:rsidRDefault="00224710" w:rsidP="00EE1CEE">
      <w:pPr>
        <w:rPr>
          <w:b/>
          <w:bCs/>
        </w:rPr>
      </w:pPr>
    </w:p>
    <w:bookmarkEnd w:id="19"/>
    <w:p w:rsidR="00EE1CEE" w:rsidRPr="00EE1CEE" w:rsidRDefault="00EE1CEE" w:rsidP="00EE1CEE"/>
    <w:sectPr w:rsidR="00EE1CEE" w:rsidRPr="00EE1CEE" w:rsidSect="00A710BA">
      <w:headerReference w:type="default" r:id="rId10"/>
      <w:footerReference w:type="default" r:id="rId11"/>
      <w:headerReference w:type="first" r:id="rId12"/>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530" w:rsidRDefault="001C0530">
      <w:r>
        <w:separator/>
      </w:r>
    </w:p>
  </w:endnote>
  <w:endnote w:type="continuationSeparator" w:id="0">
    <w:p w:rsidR="001C0530" w:rsidRDefault="001C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B4" w:rsidRPr="0040683C" w:rsidRDefault="00DA4ED1">
    <w:pPr>
      <w:pStyle w:val="Footer"/>
      <w:rPr>
        <w:sz w:val="16"/>
        <w:szCs w:val="16"/>
      </w:rPr>
    </w:pPr>
    <w:r w:rsidRPr="00635888">
      <w:rPr>
        <w:sz w:val="16"/>
        <w:szCs w:val="16"/>
      </w:rPr>
      <w:t xml:space="preserve">Policy No. </w:t>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4C7BA8">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4C7BA8">
      <w:rPr>
        <w:noProof/>
        <w:sz w:val="16"/>
        <w:szCs w:val="16"/>
      </w:rPr>
      <w:t>2</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530" w:rsidRDefault="001C0530">
      <w:r>
        <w:separator/>
      </w:r>
    </w:p>
  </w:footnote>
  <w:footnote w:type="continuationSeparator" w:id="0">
    <w:p w:rsidR="001C0530" w:rsidRDefault="001C0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621"/>
      <w:gridCol w:w="4621"/>
    </w:tblGrid>
    <w:tr w:rsidR="00DA4ED1" w:rsidTr="0040223F">
      <w:tc>
        <w:tcPr>
          <w:tcW w:w="4621" w:type="dxa"/>
          <w:shd w:val="clear" w:color="auto" w:fill="auto"/>
        </w:tcPr>
        <w:p w:rsidR="00DA4ED1" w:rsidRPr="00DA4ED1" w:rsidRDefault="00DA4ED1" w:rsidP="00DA4ED1">
          <w:pPr>
            <w:rPr>
              <w:sz w:val="18"/>
              <w:szCs w:val="18"/>
            </w:rPr>
          </w:pPr>
          <w:r w:rsidRPr="00DA4ED1">
            <w:rPr>
              <w:sz w:val="18"/>
              <w:szCs w:val="18"/>
            </w:rPr>
            <w:t xml:space="preserve">Policy for the Requesting of </w:t>
          </w:r>
          <w:r w:rsidR="0086702B">
            <w:rPr>
              <w:sz w:val="18"/>
              <w:szCs w:val="18"/>
            </w:rPr>
            <w:t xml:space="preserve">Ultrasound </w:t>
          </w:r>
          <w:r w:rsidRPr="00DA4ED1">
            <w:rPr>
              <w:sz w:val="18"/>
              <w:szCs w:val="18"/>
            </w:rPr>
            <w:t xml:space="preserve"> Investigations by </w:t>
          </w:r>
          <w:r w:rsidR="0086702B">
            <w:rPr>
              <w:sz w:val="18"/>
              <w:szCs w:val="18"/>
            </w:rPr>
            <w:t xml:space="preserve">Non-Medical </w:t>
          </w:r>
          <w:r w:rsidRPr="00DA4ED1">
            <w:rPr>
              <w:sz w:val="18"/>
              <w:szCs w:val="18"/>
            </w:rPr>
            <w:t xml:space="preserve">Advanced </w:t>
          </w:r>
          <w:r w:rsidR="0086702B">
            <w:rPr>
              <w:sz w:val="18"/>
              <w:szCs w:val="18"/>
            </w:rPr>
            <w:t xml:space="preserve"> </w:t>
          </w:r>
          <w:r w:rsidRPr="00DA4ED1">
            <w:rPr>
              <w:sz w:val="18"/>
              <w:szCs w:val="18"/>
            </w:rPr>
            <w:t xml:space="preserve">Practitioners in </w:t>
          </w:r>
          <w:r w:rsidR="0086702B">
            <w:rPr>
              <w:sz w:val="18"/>
              <w:szCs w:val="18"/>
            </w:rPr>
            <w:t>Primary Care</w:t>
          </w:r>
          <w:r w:rsidR="00E132C8">
            <w:rPr>
              <w:sz w:val="18"/>
              <w:szCs w:val="18"/>
            </w:rPr>
            <w:t>/Community</w:t>
          </w:r>
        </w:p>
        <w:p w:rsidR="00DA4ED1" w:rsidRPr="007E3C7A" w:rsidRDefault="00DA4ED1" w:rsidP="0040223F">
          <w:pPr>
            <w:pStyle w:val="Header"/>
            <w:rPr>
              <w:sz w:val="18"/>
              <w:szCs w:val="18"/>
            </w:rPr>
          </w:pPr>
        </w:p>
      </w:tc>
      <w:tc>
        <w:tcPr>
          <w:tcW w:w="4621" w:type="dxa"/>
          <w:shd w:val="clear" w:color="auto" w:fill="auto"/>
        </w:tcPr>
        <w:p w:rsidR="00DA4ED1" w:rsidRDefault="00DA4ED1" w:rsidP="0040223F">
          <w:pPr>
            <w:pStyle w:val="Header"/>
            <w:jc w:val="right"/>
          </w:pPr>
          <w:r>
            <w:rPr>
              <w:noProof/>
              <w:lang w:eastAsia="en-GB"/>
            </w:rPr>
            <w:drawing>
              <wp:inline distT="0" distB="0" distL="0" distR="0" wp14:anchorId="6E2CC40E" wp14:editId="466A3A55">
                <wp:extent cx="2552700" cy="295275"/>
                <wp:effectExtent l="0" t="0" r="0" b="9525"/>
                <wp:docPr id="3" name="Picture 3" descr="ulhn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hnco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295275"/>
                        </a:xfrm>
                        <a:prstGeom prst="rect">
                          <a:avLst/>
                        </a:prstGeom>
                        <a:noFill/>
                        <a:ln>
                          <a:noFill/>
                        </a:ln>
                      </pic:spPr>
                    </pic:pic>
                  </a:graphicData>
                </a:graphic>
              </wp:inline>
            </w:drawing>
          </w:r>
        </w:p>
      </w:tc>
    </w:tr>
  </w:tbl>
  <w:p w:rsidR="00C431B4" w:rsidRPr="00DA4ED1" w:rsidRDefault="00C431B4" w:rsidP="00DA4E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B4" w:rsidRDefault="00C431B4" w:rsidP="00A710BA">
    <w:pPr>
      <w:pStyle w:val="Header"/>
      <w:jc w:val="center"/>
    </w:pPr>
    <w:r>
      <w:rPr>
        <w:noProof/>
        <w:lang w:eastAsia="en-GB"/>
      </w:rPr>
      <w:drawing>
        <wp:inline distT="0" distB="0" distL="0" distR="0">
          <wp:extent cx="3705225" cy="428625"/>
          <wp:effectExtent l="0" t="0" r="9525" b="9525"/>
          <wp:docPr id="1" name="Picture 1" descr="ulhn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hnco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522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1B0"/>
    <w:multiLevelType w:val="hybridMultilevel"/>
    <w:tmpl w:val="DB0E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234363"/>
    <w:multiLevelType w:val="hybridMultilevel"/>
    <w:tmpl w:val="0402349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
    <w:nsid w:val="075E469C"/>
    <w:multiLevelType w:val="hybridMultilevel"/>
    <w:tmpl w:val="1EEA4A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9F5270D"/>
    <w:multiLevelType w:val="hybridMultilevel"/>
    <w:tmpl w:val="D4B6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AE1B0E"/>
    <w:multiLevelType w:val="multilevel"/>
    <w:tmpl w:val="76F86B54"/>
    <w:lvl w:ilvl="0">
      <w:start w:val="1"/>
      <w:numFmt w:val="decimal"/>
      <w:lvlText w:val="%1.0"/>
      <w:lvlJc w:val="left"/>
      <w:pPr>
        <w:ind w:left="720" w:hanging="720"/>
      </w:pPr>
      <w:rPr>
        <w:rFonts w:hint="default"/>
        <w:b/>
        <w:sz w:val="28"/>
      </w:rPr>
    </w:lvl>
    <w:lvl w:ilvl="1">
      <w:start w:val="1"/>
      <w:numFmt w:val="decimal"/>
      <w:lvlText w:val="%1.%2"/>
      <w:lvlJc w:val="left"/>
      <w:pPr>
        <w:ind w:left="1440" w:hanging="720"/>
      </w:pPr>
      <w:rPr>
        <w:rFonts w:hint="default"/>
        <w:b w:val="0"/>
        <w:sz w:val="24"/>
      </w:rPr>
    </w:lvl>
    <w:lvl w:ilvl="2">
      <w:start w:val="1"/>
      <w:numFmt w:val="decimal"/>
      <w:lvlText w:val="%1.%2.%3"/>
      <w:lvlJc w:val="left"/>
      <w:pPr>
        <w:ind w:left="2160" w:hanging="720"/>
      </w:pPr>
      <w:rPr>
        <w:rFonts w:hint="default"/>
        <w:b w:val="0"/>
        <w:sz w:val="24"/>
      </w:rPr>
    </w:lvl>
    <w:lvl w:ilvl="3">
      <w:start w:val="1"/>
      <w:numFmt w:val="decimal"/>
      <w:lvlText w:val="%1.%2.%3.%4"/>
      <w:lvlJc w:val="left"/>
      <w:pPr>
        <w:ind w:left="3240" w:hanging="1080"/>
      </w:pPr>
      <w:rPr>
        <w:rFonts w:hint="default"/>
        <w:b w:val="0"/>
        <w:sz w:val="24"/>
      </w:rPr>
    </w:lvl>
    <w:lvl w:ilvl="4">
      <w:start w:val="1"/>
      <w:numFmt w:val="decimal"/>
      <w:lvlText w:val="%1.%2.%3.%4.%5"/>
      <w:lvlJc w:val="left"/>
      <w:pPr>
        <w:ind w:left="4320" w:hanging="1440"/>
      </w:pPr>
      <w:rPr>
        <w:rFonts w:hint="default"/>
        <w:b w:val="0"/>
        <w:sz w:val="24"/>
      </w:rPr>
    </w:lvl>
    <w:lvl w:ilvl="5">
      <w:start w:val="1"/>
      <w:numFmt w:val="decimal"/>
      <w:lvlText w:val="%1.%2.%3.%4.%5.%6"/>
      <w:lvlJc w:val="left"/>
      <w:pPr>
        <w:ind w:left="5040" w:hanging="1440"/>
      </w:pPr>
      <w:rPr>
        <w:rFonts w:hint="default"/>
        <w:b w:val="0"/>
        <w:sz w:val="24"/>
      </w:rPr>
    </w:lvl>
    <w:lvl w:ilvl="6">
      <w:start w:val="1"/>
      <w:numFmt w:val="decimal"/>
      <w:lvlText w:val="%1.%2.%3.%4.%5.%6.%7"/>
      <w:lvlJc w:val="left"/>
      <w:pPr>
        <w:ind w:left="6120" w:hanging="1800"/>
      </w:pPr>
      <w:rPr>
        <w:rFonts w:hint="default"/>
        <w:b w:val="0"/>
        <w:sz w:val="24"/>
      </w:rPr>
    </w:lvl>
    <w:lvl w:ilvl="7">
      <w:start w:val="1"/>
      <w:numFmt w:val="decimal"/>
      <w:lvlText w:val="%1.%2.%3.%4.%5.%6.%7.%8"/>
      <w:lvlJc w:val="left"/>
      <w:pPr>
        <w:ind w:left="6840" w:hanging="1800"/>
      </w:pPr>
      <w:rPr>
        <w:rFonts w:hint="default"/>
        <w:b w:val="0"/>
        <w:sz w:val="24"/>
      </w:rPr>
    </w:lvl>
    <w:lvl w:ilvl="8">
      <w:start w:val="1"/>
      <w:numFmt w:val="decimal"/>
      <w:lvlText w:val="%1.%2.%3.%4.%5.%6.%7.%8.%9"/>
      <w:lvlJc w:val="left"/>
      <w:pPr>
        <w:ind w:left="7920" w:hanging="2160"/>
      </w:pPr>
      <w:rPr>
        <w:rFonts w:hint="default"/>
        <w:b w:val="0"/>
        <w:sz w:val="24"/>
      </w:rPr>
    </w:lvl>
  </w:abstractNum>
  <w:abstractNum w:abstractNumId="5">
    <w:nsid w:val="1C0636C5"/>
    <w:multiLevelType w:val="hybridMultilevel"/>
    <w:tmpl w:val="B7C81F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D003906"/>
    <w:multiLevelType w:val="hybridMultilevel"/>
    <w:tmpl w:val="BAA84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04A742A"/>
    <w:multiLevelType w:val="hybridMultilevel"/>
    <w:tmpl w:val="66EE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2F1A8A"/>
    <w:multiLevelType w:val="multilevel"/>
    <w:tmpl w:val="63D8CD70"/>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16F2458"/>
    <w:multiLevelType w:val="multilevel"/>
    <w:tmpl w:val="07E6644A"/>
    <w:lvl w:ilvl="0">
      <w:start w:val="2"/>
      <w:numFmt w:val="decimal"/>
      <w:lvlText w:val="%1.0"/>
      <w:lvlJc w:val="left"/>
      <w:pPr>
        <w:ind w:left="720" w:hanging="720"/>
      </w:pPr>
      <w:rPr>
        <w:rFonts w:hint="default"/>
        <w:b/>
        <w:sz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35775A84"/>
    <w:multiLevelType w:val="hybridMultilevel"/>
    <w:tmpl w:val="654A54FE"/>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1">
    <w:nsid w:val="3AD81D78"/>
    <w:multiLevelType w:val="multilevel"/>
    <w:tmpl w:val="9B2C97A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11F114B"/>
    <w:multiLevelType w:val="hybridMultilevel"/>
    <w:tmpl w:val="4D3C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314CC6"/>
    <w:multiLevelType w:val="multilevel"/>
    <w:tmpl w:val="A672EE5A"/>
    <w:lvl w:ilvl="0">
      <w:start w:val="1"/>
      <w:numFmt w:val="decimal"/>
      <w:lvlText w:val="%1"/>
      <w:lvlJc w:val="left"/>
      <w:pPr>
        <w:ind w:left="735" w:hanging="735"/>
      </w:pPr>
      <w:rPr>
        <w:rFonts w:hint="default"/>
      </w:rPr>
    </w:lvl>
    <w:lvl w:ilvl="1">
      <w:numFmt w:val="decimal"/>
      <w:lvlText w:val="%1.%2"/>
      <w:lvlJc w:val="left"/>
      <w:pPr>
        <w:ind w:left="1302" w:hanging="735"/>
      </w:pPr>
      <w:rPr>
        <w:rFonts w:hint="default"/>
      </w:rPr>
    </w:lvl>
    <w:lvl w:ilvl="2">
      <w:start w:val="1"/>
      <w:numFmt w:val="decimal"/>
      <w:lvlText w:val="%1.%2.%3"/>
      <w:lvlJc w:val="left"/>
      <w:pPr>
        <w:ind w:left="1869" w:hanging="73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548636A"/>
    <w:multiLevelType w:val="hybridMultilevel"/>
    <w:tmpl w:val="5E845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6955A37"/>
    <w:multiLevelType w:val="multilevel"/>
    <w:tmpl w:val="7A5A634A"/>
    <w:lvl w:ilvl="0">
      <w:start w:val="8"/>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16">
    <w:nsid w:val="59142C86"/>
    <w:multiLevelType w:val="hybridMultilevel"/>
    <w:tmpl w:val="C6287572"/>
    <w:lvl w:ilvl="0" w:tplc="2C6CA6C2">
      <w:start w:val="1"/>
      <w:numFmt w:val="bullet"/>
      <w:pStyle w:val="DHSecondaryHeadingOne"/>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AEC014D"/>
    <w:multiLevelType w:val="hybridMultilevel"/>
    <w:tmpl w:val="36C6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0"/>
  </w:num>
  <w:num w:numId="4">
    <w:abstractNumId w:val="5"/>
  </w:num>
  <w:num w:numId="5">
    <w:abstractNumId w:val="9"/>
  </w:num>
  <w:num w:numId="6">
    <w:abstractNumId w:val="0"/>
  </w:num>
  <w:num w:numId="7">
    <w:abstractNumId w:val="17"/>
  </w:num>
  <w:num w:numId="8">
    <w:abstractNumId w:val="12"/>
  </w:num>
  <w:num w:numId="9">
    <w:abstractNumId w:val="11"/>
  </w:num>
  <w:num w:numId="10">
    <w:abstractNumId w:val="8"/>
  </w:num>
  <w:num w:numId="11">
    <w:abstractNumId w:val="4"/>
  </w:num>
  <w:num w:numId="12">
    <w:abstractNumId w:val="14"/>
  </w:num>
  <w:num w:numId="13">
    <w:abstractNumId w:val="15"/>
  </w:num>
  <w:num w:numId="14">
    <w:abstractNumId w:val="16"/>
  </w:num>
  <w:num w:numId="15">
    <w:abstractNumId w:val="6"/>
  </w:num>
  <w:num w:numId="16">
    <w:abstractNumId w:val="1"/>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CEE"/>
    <w:rsid w:val="00026EAD"/>
    <w:rsid w:val="0003668C"/>
    <w:rsid w:val="001213EF"/>
    <w:rsid w:val="001271BD"/>
    <w:rsid w:val="001530EF"/>
    <w:rsid w:val="0017036E"/>
    <w:rsid w:val="001916D8"/>
    <w:rsid w:val="00197B69"/>
    <w:rsid w:val="001C0530"/>
    <w:rsid w:val="001C23D3"/>
    <w:rsid w:val="001C4306"/>
    <w:rsid w:val="001C70BD"/>
    <w:rsid w:val="00224710"/>
    <w:rsid w:val="002720A9"/>
    <w:rsid w:val="00284870"/>
    <w:rsid w:val="002B7CA7"/>
    <w:rsid w:val="002E01FD"/>
    <w:rsid w:val="002E66C5"/>
    <w:rsid w:val="00314984"/>
    <w:rsid w:val="003465D4"/>
    <w:rsid w:val="003E7995"/>
    <w:rsid w:val="00466E25"/>
    <w:rsid w:val="00466EDB"/>
    <w:rsid w:val="00471F18"/>
    <w:rsid w:val="004C7BA8"/>
    <w:rsid w:val="004D7110"/>
    <w:rsid w:val="00503C49"/>
    <w:rsid w:val="00535829"/>
    <w:rsid w:val="00544798"/>
    <w:rsid w:val="005A05A9"/>
    <w:rsid w:val="005A4C85"/>
    <w:rsid w:val="005A603B"/>
    <w:rsid w:val="005D7876"/>
    <w:rsid w:val="005E1799"/>
    <w:rsid w:val="005E23F0"/>
    <w:rsid w:val="006264BB"/>
    <w:rsid w:val="0064282B"/>
    <w:rsid w:val="00642854"/>
    <w:rsid w:val="00653C47"/>
    <w:rsid w:val="00685559"/>
    <w:rsid w:val="006A3300"/>
    <w:rsid w:val="007502E3"/>
    <w:rsid w:val="0082779F"/>
    <w:rsid w:val="0086702B"/>
    <w:rsid w:val="008C1121"/>
    <w:rsid w:val="009407FD"/>
    <w:rsid w:val="009636EF"/>
    <w:rsid w:val="00983825"/>
    <w:rsid w:val="009A053D"/>
    <w:rsid w:val="009D1EDA"/>
    <w:rsid w:val="009E28AA"/>
    <w:rsid w:val="009F3340"/>
    <w:rsid w:val="00A4278B"/>
    <w:rsid w:val="00A710BA"/>
    <w:rsid w:val="00AD308C"/>
    <w:rsid w:val="00AF071F"/>
    <w:rsid w:val="00B151CC"/>
    <w:rsid w:val="00B15C1E"/>
    <w:rsid w:val="00BA5B4D"/>
    <w:rsid w:val="00BB1FA9"/>
    <w:rsid w:val="00BC7D39"/>
    <w:rsid w:val="00BD0FD8"/>
    <w:rsid w:val="00C05982"/>
    <w:rsid w:val="00C12678"/>
    <w:rsid w:val="00C23FC2"/>
    <w:rsid w:val="00C25AAE"/>
    <w:rsid w:val="00C431B4"/>
    <w:rsid w:val="00C913F0"/>
    <w:rsid w:val="00CB7249"/>
    <w:rsid w:val="00CE2E59"/>
    <w:rsid w:val="00D006F0"/>
    <w:rsid w:val="00D339D9"/>
    <w:rsid w:val="00D5650C"/>
    <w:rsid w:val="00D60092"/>
    <w:rsid w:val="00D853DE"/>
    <w:rsid w:val="00D973D9"/>
    <w:rsid w:val="00DA4ED1"/>
    <w:rsid w:val="00DD015F"/>
    <w:rsid w:val="00DE3B89"/>
    <w:rsid w:val="00DF5DCF"/>
    <w:rsid w:val="00DF6028"/>
    <w:rsid w:val="00E132C8"/>
    <w:rsid w:val="00E42A64"/>
    <w:rsid w:val="00E42C08"/>
    <w:rsid w:val="00E73BDC"/>
    <w:rsid w:val="00E770E8"/>
    <w:rsid w:val="00EA0D1F"/>
    <w:rsid w:val="00EB2033"/>
    <w:rsid w:val="00ED2AA3"/>
    <w:rsid w:val="00EE1CEE"/>
    <w:rsid w:val="00EF3272"/>
    <w:rsid w:val="00F224A7"/>
    <w:rsid w:val="00F72DCB"/>
    <w:rsid w:val="00F82E58"/>
    <w:rsid w:val="00FC7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3F0"/>
    <w:pPr>
      <w:spacing w:after="0" w:line="240" w:lineRule="auto"/>
    </w:pPr>
    <w:rPr>
      <w:rFonts w:ascii="Arial" w:hAnsi="Arial"/>
      <w:sz w:val="24"/>
    </w:rPr>
  </w:style>
  <w:style w:type="paragraph" w:styleId="Heading1">
    <w:name w:val="heading 1"/>
    <w:basedOn w:val="Normal"/>
    <w:next w:val="Normal"/>
    <w:link w:val="Heading1Char"/>
    <w:uiPriority w:val="9"/>
    <w:qFormat/>
    <w:rsid w:val="00DA4ED1"/>
    <w:pPr>
      <w:keepNext/>
      <w:keepLines/>
      <w:spacing w:before="480" w:after="120" w:line="360" w:lineRule="auto"/>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CEE"/>
    <w:pPr>
      <w:tabs>
        <w:tab w:val="center" w:pos="4513"/>
        <w:tab w:val="right" w:pos="9026"/>
      </w:tabs>
    </w:pPr>
    <w:rPr>
      <w:rFonts w:eastAsia="Calibri" w:cs="Times New Roman"/>
    </w:rPr>
  </w:style>
  <w:style w:type="character" w:customStyle="1" w:styleId="HeaderChar">
    <w:name w:val="Header Char"/>
    <w:basedOn w:val="DefaultParagraphFont"/>
    <w:link w:val="Header"/>
    <w:uiPriority w:val="99"/>
    <w:rsid w:val="00EE1CEE"/>
    <w:rPr>
      <w:rFonts w:ascii="Arial" w:eastAsia="Calibri" w:hAnsi="Arial" w:cs="Times New Roman"/>
      <w:sz w:val="24"/>
    </w:rPr>
  </w:style>
  <w:style w:type="paragraph" w:styleId="Footer">
    <w:name w:val="footer"/>
    <w:basedOn w:val="Normal"/>
    <w:link w:val="FooterChar"/>
    <w:uiPriority w:val="99"/>
    <w:unhideWhenUsed/>
    <w:rsid w:val="00EE1CEE"/>
    <w:pPr>
      <w:tabs>
        <w:tab w:val="center" w:pos="4513"/>
        <w:tab w:val="right" w:pos="9026"/>
      </w:tabs>
    </w:pPr>
    <w:rPr>
      <w:rFonts w:eastAsia="Calibri" w:cs="Times New Roman"/>
    </w:rPr>
  </w:style>
  <w:style w:type="character" w:customStyle="1" w:styleId="FooterChar">
    <w:name w:val="Footer Char"/>
    <w:basedOn w:val="DefaultParagraphFont"/>
    <w:link w:val="Footer"/>
    <w:uiPriority w:val="99"/>
    <w:rsid w:val="00EE1CEE"/>
    <w:rPr>
      <w:rFonts w:ascii="Arial" w:eastAsia="Calibri" w:hAnsi="Arial" w:cs="Times New Roman"/>
      <w:sz w:val="24"/>
    </w:rPr>
  </w:style>
  <w:style w:type="character" w:styleId="Hyperlink">
    <w:name w:val="Hyperlink"/>
    <w:basedOn w:val="DefaultParagraphFont"/>
    <w:uiPriority w:val="99"/>
    <w:unhideWhenUsed/>
    <w:rsid w:val="00EE1CEE"/>
    <w:rPr>
      <w:color w:val="0000FF" w:themeColor="hyperlink"/>
      <w:u w:val="single"/>
    </w:rPr>
  </w:style>
  <w:style w:type="paragraph" w:styleId="BalloonText">
    <w:name w:val="Balloon Text"/>
    <w:basedOn w:val="Normal"/>
    <w:link w:val="BalloonTextChar"/>
    <w:uiPriority w:val="99"/>
    <w:semiHidden/>
    <w:unhideWhenUsed/>
    <w:rsid w:val="00EE1CEE"/>
    <w:rPr>
      <w:rFonts w:ascii="Tahoma" w:hAnsi="Tahoma" w:cs="Tahoma"/>
      <w:sz w:val="16"/>
      <w:szCs w:val="16"/>
    </w:rPr>
  </w:style>
  <w:style w:type="character" w:customStyle="1" w:styleId="BalloonTextChar">
    <w:name w:val="Balloon Text Char"/>
    <w:basedOn w:val="DefaultParagraphFont"/>
    <w:link w:val="BalloonText"/>
    <w:uiPriority w:val="99"/>
    <w:semiHidden/>
    <w:rsid w:val="00EE1CEE"/>
    <w:rPr>
      <w:rFonts w:ascii="Tahoma" w:hAnsi="Tahoma" w:cs="Tahoma"/>
      <w:sz w:val="16"/>
      <w:szCs w:val="16"/>
    </w:rPr>
  </w:style>
  <w:style w:type="paragraph" w:styleId="ListParagraph">
    <w:name w:val="List Paragraph"/>
    <w:basedOn w:val="Normal"/>
    <w:uiPriority w:val="34"/>
    <w:qFormat/>
    <w:rsid w:val="00D60092"/>
    <w:pPr>
      <w:ind w:left="720"/>
      <w:contextualSpacing/>
    </w:pPr>
  </w:style>
  <w:style w:type="table" w:styleId="TableGrid">
    <w:name w:val="Table Grid"/>
    <w:basedOn w:val="TableNormal"/>
    <w:uiPriority w:val="59"/>
    <w:rsid w:val="00E4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4ED1"/>
    <w:rPr>
      <w:rFonts w:ascii="Arial" w:eastAsia="Times New Roman" w:hAnsi="Arial" w:cs="Times New Roman"/>
      <w:b/>
      <w:bCs/>
      <w:sz w:val="28"/>
      <w:szCs w:val="28"/>
    </w:rPr>
  </w:style>
  <w:style w:type="paragraph" w:customStyle="1" w:styleId="DHSecondaryHeadingOne">
    <w:name w:val="DH Secondary Heading One"/>
    <w:basedOn w:val="Normal"/>
    <w:rsid w:val="00DA4ED1"/>
    <w:pPr>
      <w:numPr>
        <w:numId w:val="14"/>
      </w:numPr>
      <w:tabs>
        <w:tab w:val="clear" w:pos="360"/>
      </w:tabs>
      <w:spacing w:line="360" w:lineRule="exact"/>
      <w:ind w:left="0" w:firstLine="0"/>
    </w:pPr>
    <w:rPr>
      <w:rFonts w:eastAsia="Times New Roman" w:cs="Times New Roman"/>
      <w:color w:val="009966"/>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3F0"/>
    <w:pPr>
      <w:spacing w:after="0" w:line="240" w:lineRule="auto"/>
    </w:pPr>
    <w:rPr>
      <w:rFonts w:ascii="Arial" w:hAnsi="Arial"/>
      <w:sz w:val="24"/>
    </w:rPr>
  </w:style>
  <w:style w:type="paragraph" w:styleId="Heading1">
    <w:name w:val="heading 1"/>
    <w:basedOn w:val="Normal"/>
    <w:next w:val="Normal"/>
    <w:link w:val="Heading1Char"/>
    <w:uiPriority w:val="9"/>
    <w:qFormat/>
    <w:rsid w:val="00DA4ED1"/>
    <w:pPr>
      <w:keepNext/>
      <w:keepLines/>
      <w:spacing w:before="480" w:after="120" w:line="360" w:lineRule="auto"/>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CEE"/>
    <w:pPr>
      <w:tabs>
        <w:tab w:val="center" w:pos="4513"/>
        <w:tab w:val="right" w:pos="9026"/>
      </w:tabs>
    </w:pPr>
    <w:rPr>
      <w:rFonts w:eastAsia="Calibri" w:cs="Times New Roman"/>
    </w:rPr>
  </w:style>
  <w:style w:type="character" w:customStyle="1" w:styleId="HeaderChar">
    <w:name w:val="Header Char"/>
    <w:basedOn w:val="DefaultParagraphFont"/>
    <w:link w:val="Header"/>
    <w:uiPriority w:val="99"/>
    <w:rsid w:val="00EE1CEE"/>
    <w:rPr>
      <w:rFonts w:ascii="Arial" w:eastAsia="Calibri" w:hAnsi="Arial" w:cs="Times New Roman"/>
      <w:sz w:val="24"/>
    </w:rPr>
  </w:style>
  <w:style w:type="paragraph" w:styleId="Footer">
    <w:name w:val="footer"/>
    <w:basedOn w:val="Normal"/>
    <w:link w:val="FooterChar"/>
    <w:uiPriority w:val="99"/>
    <w:unhideWhenUsed/>
    <w:rsid w:val="00EE1CEE"/>
    <w:pPr>
      <w:tabs>
        <w:tab w:val="center" w:pos="4513"/>
        <w:tab w:val="right" w:pos="9026"/>
      </w:tabs>
    </w:pPr>
    <w:rPr>
      <w:rFonts w:eastAsia="Calibri" w:cs="Times New Roman"/>
    </w:rPr>
  </w:style>
  <w:style w:type="character" w:customStyle="1" w:styleId="FooterChar">
    <w:name w:val="Footer Char"/>
    <w:basedOn w:val="DefaultParagraphFont"/>
    <w:link w:val="Footer"/>
    <w:uiPriority w:val="99"/>
    <w:rsid w:val="00EE1CEE"/>
    <w:rPr>
      <w:rFonts w:ascii="Arial" w:eastAsia="Calibri" w:hAnsi="Arial" w:cs="Times New Roman"/>
      <w:sz w:val="24"/>
    </w:rPr>
  </w:style>
  <w:style w:type="character" w:styleId="Hyperlink">
    <w:name w:val="Hyperlink"/>
    <w:basedOn w:val="DefaultParagraphFont"/>
    <w:uiPriority w:val="99"/>
    <w:unhideWhenUsed/>
    <w:rsid w:val="00EE1CEE"/>
    <w:rPr>
      <w:color w:val="0000FF" w:themeColor="hyperlink"/>
      <w:u w:val="single"/>
    </w:rPr>
  </w:style>
  <w:style w:type="paragraph" w:styleId="BalloonText">
    <w:name w:val="Balloon Text"/>
    <w:basedOn w:val="Normal"/>
    <w:link w:val="BalloonTextChar"/>
    <w:uiPriority w:val="99"/>
    <w:semiHidden/>
    <w:unhideWhenUsed/>
    <w:rsid w:val="00EE1CEE"/>
    <w:rPr>
      <w:rFonts w:ascii="Tahoma" w:hAnsi="Tahoma" w:cs="Tahoma"/>
      <w:sz w:val="16"/>
      <w:szCs w:val="16"/>
    </w:rPr>
  </w:style>
  <w:style w:type="character" w:customStyle="1" w:styleId="BalloonTextChar">
    <w:name w:val="Balloon Text Char"/>
    <w:basedOn w:val="DefaultParagraphFont"/>
    <w:link w:val="BalloonText"/>
    <w:uiPriority w:val="99"/>
    <w:semiHidden/>
    <w:rsid w:val="00EE1CEE"/>
    <w:rPr>
      <w:rFonts w:ascii="Tahoma" w:hAnsi="Tahoma" w:cs="Tahoma"/>
      <w:sz w:val="16"/>
      <w:szCs w:val="16"/>
    </w:rPr>
  </w:style>
  <w:style w:type="paragraph" w:styleId="ListParagraph">
    <w:name w:val="List Paragraph"/>
    <w:basedOn w:val="Normal"/>
    <w:uiPriority w:val="34"/>
    <w:qFormat/>
    <w:rsid w:val="00D60092"/>
    <w:pPr>
      <w:ind w:left="720"/>
      <w:contextualSpacing/>
    </w:pPr>
  </w:style>
  <w:style w:type="table" w:styleId="TableGrid">
    <w:name w:val="Table Grid"/>
    <w:basedOn w:val="TableNormal"/>
    <w:uiPriority w:val="59"/>
    <w:rsid w:val="00E4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4ED1"/>
    <w:rPr>
      <w:rFonts w:ascii="Arial" w:eastAsia="Times New Roman" w:hAnsi="Arial" w:cs="Times New Roman"/>
      <w:b/>
      <w:bCs/>
      <w:sz w:val="28"/>
      <w:szCs w:val="28"/>
    </w:rPr>
  </w:style>
  <w:style w:type="paragraph" w:customStyle="1" w:styleId="DHSecondaryHeadingOne">
    <w:name w:val="DH Secondary Heading One"/>
    <w:basedOn w:val="Normal"/>
    <w:rsid w:val="00DA4ED1"/>
    <w:pPr>
      <w:numPr>
        <w:numId w:val="14"/>
      </w:numPr>
      <w:tabs>
        <w:tab w:val="clear" w:pos="360"/>
      </w:tabs>
      <w:spacing w:line="360" w:lineRule="exact"/>
      <w:ind w:left="0" w:firstLine="0"/>
    </w:pPr>
    <w:rPr>
      <w:rFonts w:eastAsia="Times New Roman" w:cs="Times New Roman"/>
      <w:color w:val="009966"/>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05492">
      <w:bodyDiv w:val="1"/>
      <w:marLeft w:val="0"/>
      <w:marRight w:val="0"/>
      <w:marTop w:val="0"/>
      <w:marBottom w:val="0"/>
      <w:divBdr>
        <w:top w:val="none" w:sz="0" w:space="0" w:color="auto"/>
        <w:left w:val="none" w:sz="0" w:space="0" w:color="auto"/>
        <w:bottom w:val="none" w:sz="0" w:space="0" w:color="auto"/>
        <w:right w:val="none" w:sz="0" w:space="0" w:color="auto"/>
      </w:divBdr>
    </w:div>
    <w:div w:id="726613206">
      <w:bodyDiv w:val="1"/>
      <w:marLeft w:val="0"/>
      <w:marRight w:val="0"/>
      <w:marTop w:val="0"/>
      <w:marBottom w:val="0"/>
      <w:divBdr>
        <w:top w:val="none" w:sz="0" w:space="0" w:color="auto"/>
        <w:left w:val="none" w:sz="0" w:space="0" w:color="auto"/>
        <w:bottom w:val="none" w:sz="0" w:space="0" w:color="auto"/>
        <w:right w:val="none" w:sz="0" w:space="0" w:color="auto"/>
      </w:divBdr>
    </w:div>
    <w:div w:id="17690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im.couchman@ulh.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A1300-455E-4E34-8B7F-1BF84B64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15712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Firth Lesley (ULHT)</dc:creator>
  <cp:lastModifiedBy>Barnes Lesley (LWGP)</cp:lastModifiedBy>
  <cp:revision>2</cp:revision>
  <cp:lastPrinted>2014-07-24T11:39:00Z</cp:lastPrinted>
  <dcterms:created xsi:type="dcterms:W3CDTF">2020-06-17T09:36:00Z</dcterms:created>
  <dcterms:modified xsi:type="dcterms:W3CDTF">2020-06-17T09:36:00Z</dcterms:modified>
</cp:coreProperties>
</file>